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41BC044" w:rsidR="00E66558" w:rsidRPr="009851BF" w:rsidRDefault="009D71E8">
      <w:pPr>
        <w:pStyle w:val="Heading1"/>
        <w:rPr>
          <w:rFonts w:asciiTheme="minorHAnsi" w:hAnsiTheme="minorHAnsi" w:cstheme="minorHAnsi"/>
          <w:sz w:val="20"/>
          <w:szCs w:val="20"/>
        </w:rPr>
      </w:pPr>
      <w:bookmarkStart w:id="0" w:name="_Toc400361362"/>
      <w:bookmarkStart w:id="1" w:name="_Toc443397153"/>
      <w:bookmarkStart w:id="2" w:name="_Toc357771638"/>
      <w:bookmarkStart w:id="3" w:name="_Toc346793416"/>
      <w:bookmarkStart w:id="4" w:name="_Toc328122777"/>
      <w:r w:rsidRPr="009851BF">
        <w:rPr>
          <w:rFonts w:asciiTheme="minorHAnsi" w:hAnsiTheme="minorHAnsi" w:cstheme="minorHAnsi"/>
          <w:sz w:val="20"/>
          <w:szCs w:val="2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33DA955" w:rsidR="00E66558" w:rsidRPr="009851BF" w:rsidRDefault="009D71E8">
      <w:pPr>
        <w:pStyle w:val="Heading2"/>
        <w:rPr>
          <w:rFonts w:asciiTheme="minorHAnsi" w:hAnsiTheme="minorHAnsi" w:cstheme="minorHAnsi"/>
          <w:b w:val="0"/>
          <w:bCs/>
          <w:color w:val="auto"/>
          <w:sz w:val="20"/>
          <w:szCs w:val="20"/>
        </w:rPr>
      </w:pPr>
      <w:r w:rsidRPr="009851BF">
        <w:rPr>
          <w:rFonts w:asciiTheme="minorHAnsi" w:hAnsiTheme="minorHAnsi" w:cstheme="minorHAnsi"/>
          <w:b w:val="0"/>
          <w:bCs/>
          <w:color w:val="auto"/>
          <w:sz w:val="20"/>
          <w:szCs w:val="20"/>
        </w:rPr>
        <w:t>This statement details ou</w:t>
      </w:r>
      <w:r w:rsidR="00123A97" w:rsidRPr="009851BF">
        <w:rPr>
          <w:rFonts w:asciiTheme="minorHAnsi" w:hAnsiTheme="minorHAnsi" w:cstheme="minorHAnsi"/>
          <w:b w:val="0"/>
          <w:bCs/>
          <w:color w:val="auto"/>
          <w:sz w:val="20"/>
          <w:szCs w:val="20"/>
        </w:rPr>
        <w:t xml:space="preserve">r school’s use of pupil premium </w:t>
      </w:r>
      <w:r w:rsidRPr="009851BF">
        <w:rPr>
          <w:rFonts w:asciiTheme="minorHAnsi" w:hAnsiTheme="minorHAnsi" w:cstheme="minorHAnsi"/>
          <w:b w:val="0"/>
          <w:bCs/>
          <w:color w:val="auto"/>
          <w:sz w:val="20"/>
          <w:szCs w:val="20"/>
        </w:rPr>
        <w:t xml:space="preserve">funding to help improve the attainment of our disadvantaged pupils. </w:t>
      </w:r>
    </w:p>
    <w:p w14:paraId="2A7D54B3" w14:textId="77777777" w:rsidR="00E66558" w:rsidRPr="009851BF" w:rsidRDefault="009D71E8">
      <w:pPr>
        <w:pStyle w:val="Heading2"/>
        <w:spacing w:before="240"/>
        <w:rPr>
          <w:rFonts w:asciiTheme="minorHAnsi" w:hAnsiTheme="minorHAnsi" w:cstheme="minorHAnsi"/>
          <w:b w:val="0"/>
          <w:bCs/>
          <w:color w:val="auto"/>
          <w:sz w:val="20"/>
          <w:szCs w:val="20"/>
        </w:rPr>
      </w:pPr>
      <w:r w:rsidRPr="009851BF">
        <w:rPr>
          <w:rFonts w:asciiTheme="minorHAnsi" w:hAnsiTheme="minorHAnsi" w:cstheme="minorHAnsi"/>
          <w:b w:val="0"/>
          <w:bCs/>
          <w:color w:val="auto"/>
          <w:sz w:val="20"/>
          <w:szCs w:val="20"/>
        </w:rPr>
        <w:t xml:space="preserve">It outlines our pupil premium strategy, how we intend to spend the funding in this academic year and the effect that last year’s spending of pupil premium had within our school. </w:t>
      </w:r>
    </w:p>
    <w:p w14:paraId="2A7D54B4" w14:textId="77777777" w:rsidR="00E66558" w:rsidRPr="009851BF" w:rsidRDefault="009D71E8">
      <w:pPr>
        <w:pStyle w:val="Heading2"/>
        <w:rPr>
          <w:rFonts w:asciiTheme="minorHAnsi" w:hAnsiTheme="minorHAnsi" w:cstheme="minorHAnsi"/>
          <w:sz w:val="20"/>
          <w:szCs w:val="20"/>
        </w:rPr>
      </w:pPr>
      <w:r w:rsidRPr="009851BF">
        <w:rPr>
          <w:rFonts w:asciiTheme="minorHAnsi" w:hAnsiTheme="minorHAnsi" w:cstheme="minorHAnsi"/>
          <w:sz w:val="20"/>
          <w:szCs w:val="20"/>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851B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851BF" w:rsidRDefault="009D71E8">
            <w:pPr>
              <w:pStyle w:val="TableHeader"/>
              <w:jc w:val="left"/>
              <w:rPr>
                <w:rFonts w:asciiTheme="minorHAnsi" w:hAnsiTheme="minorHAnsi" w:cstheme="minorHAnsi"/>
                <w:sz w:val="20"/>
                <w:szCs w:val="20"/>
              </w:rPr>
            </w:pPr>
            <w:r w:rsidRPr="009851BF">
              <w:rPr>
                <w:rFonts w:asciiTheme="minorHAnsi" w:hAnsiTheme="minorHAnsi" w:cstheme="minorHAnsi"/>
                <w:sz w:val="20"/>
                <w:szCs w:val="20"/>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851BF" w:rsidRDefault="009D71E8">
            <w:pPr>
              <w:pStyle w:val="TableHeader"/>
              <w:jc w:val="left"/>
              <w:rPr>
                <w:rFonts w:asciiTheme="minorHAnsi" w:hAnsiTheme="minorHAnsi" w:cstheme="minorHAnsi"/>
                <w:sz w:val="20"/>
                <w:szCs w:val="20"/>
              </w:rPr>
            </w:pPr>
            <w:r w:rsidRPr="009851BF">
              <w:rPr>
                <w:rFonts w:asciiTheme="minorHAnsi" w:hAnsiTheme="minorHAnsi" w:cstheme="minorHAnsi"/>
                <w:sz w:val="20"/>
                <w:szCs w:val="20"/>
              </w:rPr>
              <w:t>Data</w:t>
            </w:r>
          </w:p>
        </w:tc>
      </w:tr>
      <w:tr w:rsidR="00E66558" w:rsidRPr="009851B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A4CC273" w:rsidR="00E66558" w:rsidRPr="009851BF" w:rsidRDefault="00255895">
            <w:pPr>
              <w:pStyle w:val="TableRow"/>
              <w:rPr>
                <w:rFonts w:asciiTheme="minorHAnsi" w:hAnsiTheme="minorHAnsi" w:cstheme="minorHAnsi"/>
                <w:sz w:val="20"/>
                <w:szCs w:val="20"/>
              </w:rPr>
            </w:pPr>
            <w:r w:rsidRPr="009851BF">
              <w:rPr>
                <w:rFonts w:asciiTheme="minorHAnsi" w:hAnsiTheme="minorHAnsi" w:cstheme="minorHAnsi"/>
                <w:sz w:val="20"/>
                <w:szCs w:val="20"/>
              </w:rPr>
              <w:t>Dixons Brooklands Academy</w:t>
            </w:r>
          </w:p>
        </w:tc>
      </w:tr>
      <w:tr w:rsidR="00E66558" w:rsidRPr="009851B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90F30AC" w:rsidR="00E66558" w:rsidRPr="009851BF" w:rsidRDefault="00C8368F">
            <w:pPr>
              <w:pStyle w:val="TableRow"/>
              <w:rPr>
                <w:rFonts w:asciiTheme="minorHAnsi" w:hAnsiTheme="minorHAnsi" w:cstheme="minorHAnsi"/>
                <w:sz w:val="20"/>
                <w:szCs w:val="20"/>
              </w:rPr>
            </w:pPr>
            <w:r w:rsidRPr="009851BF">
              <w:rPr>
                <w:rFonts w:asciiTheme="minorHAnsi" w:hAnsiTheme="minorHAnsi" w:cstheme="minorHAnsi"/>
                <w:sz w:val="20"/>
                <w:szCs w:val="20"/>
              </w:rPr>
              <w:t>1033</w:t>
            </w:r>
          </w:p>
        </w:tc>
      </w:tr>
      <w:tr w:rsidR="00E66558" w:rsidRPr="009851B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C953C6D" w:rsidR="00E66558" w:rsidRPr="009851BF" w:rsidRDefault="00C8368F">
            <w:pPr>
              <w:pStyle w:val="TableRow"/>
              <w:rPr>
                <w:rFonts w:asciiTheme="minorHAnsi" w:hAnsiTheme="minorHAnsi" w:cstheme="minorHAnsi"/>
                <w:sz w:val="20"/>
                <w:szCs w:val="20"/>
              </w:rPr>
            </w:pPr>
            <w:r w:rsidRPr="009851BF">
              <w:rPr>
                <w:rFonts w:asciiTheme="minorHAnsi" w:hAnsiTheme="minorHAnsi" w:cstheme="minorHAnsi"/>
                <w:sz w:val="20"/>
                <w:szCs w:val="20"/>
              </w:rPr>
              <w:t>60%</w:t>
            </w:r>
          </w:p>
        </w:tc>
      </w:tr>
      <w:tr w:rsidR="00E66558" w:rsidRPr="009851B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BFB664F" w:rsidR="00E66558" w:rsidRPr="009851BF" w:rsidRDefault="009D71E8" w:rsidP="00347F53">
            <w:pPr>
              <w:pStyle w:val="TableRow"/>
              <w:rPr>
                <w:rFonts w:asciiTheme="minorHAnsi" w:hAnsiTheme="minorHAnsi" w:cstheme="minorHAnsi"/>
                <w:sz w:val="20"/>
                <w:szCs w:val="20"/>
              </w:rPr>
            </w:pPr>
            <w:r w:rsidRPr="009851BF">
              <w:rPr>
                <w:rFonts w:asciiTheme="minorHAnsi" w:hAnsiTheme="minorHAnsi" w:cstheme="minorHAnsi"/>
                <w:sz w:val="20"/>
                <w:szCs w:val="20"/>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05FC" w14:textId="77777777" w:rsidR="00E66558" w:rsidRPr="009851BF" w:rsidRDefault="00255895">
            <w:pPr>
              <w:pStyle w:val="TableRow"/>
              <w:rPr>
                <w:rFonts w:asciiTheme="minorHAnsi" w:hAnsiTheme="minorHAnsi" w:cstheme="minorHAnsi"/>
                <w:sz w:val="20"/>
                <w:szCs w:val="20"/>
              </w:rPr>
            </w:pPr>
            <w:r w:rsidRPr="009851BF">
              <w:rPr>
                <w:rFonts w:asciiTheme="minorHAnsi" w:hAnsiTheme="minorHAnsi" w:cstheme="minorHAnsi"/>
                <w:sz w:val="20"/>
                <w:szCs w:val="20"/>
              </w:rPr>
              <w:t>2022-23</w:t>
            </w:r>
          </w:p>
          <w:p w14:paraId="2A7D54C2" w14:textId="683F544D" w:rsidR="0041453F" w:rsidRPr="009851BF" w:rsidRDefault="0041453F">
            <w:pPr>
              <w:pStyle w:val="TableRow"/>
              <w:rPr>
                <w:rFonts w:asciiTheme="minorHAnsi" w:hAnsiTheme="minorHAnsi" w:cstheme="minorHAnsi"/>
                <w:sz w:val="20"/>
                <w:szCs w:val="20"/>
              </w:rPr>
            </w:pPr>
            <w:r w:rsidRPr="009851BF">
              <w:rPr>
                <w:rFonts w:asciiTheme="minorHAnsi" w:hAnsiTheme="minorHAnsi" w:cstheme="minorHAnsi"/>
                <w:sz w:val="20"/>
                <w:szCs w:val="20"/>
              </w:rPr>
              <w:t>2023-24</w:t>
            </w:r>
          </w:p>
        </w:tc>
      </w:tr>
      <w:tr w:rsidR="00E66558" w:rsidRPr="009851B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9DB30BE" w:rsidR="00E66558" w:rsidRPr="009851BF" w:rsidRDefault="00255895">
            <w:pPr>
              <w:pStyle w:val="TableRow"/>
              <w:rPr>
                <w:rFonts w:asciiTheme="minorHAnsi" w:hAnsiTheme="minorHAnsi" w:cstheme="minorHAnsi"/>
                <w:sz w:val="20"/>
                <w:szCs w:val="20"/>
              </w:rPr>
            </w:pPr>
            <w:r w:rsidRPr="009851BF">
              <w:rPr>
                <w:rFonts w:asciiTheme="minorHAnsi" w:hAnsiTheme="minorHAnsi" w:cstheme="minorHAnsi"/>
                <w:sz w:val="20"/>
                <w:szCs w:val="20"/>
              </w:rPr>
              <w:t>15.09.22</w:t>
            </w:r>
          </w:p>
        </w:tc>
      </w:tr>
      <w:tr w:rsidR="00E66558" w:rsidRPr="009851B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E491473" w:rsidR="00E66558" w:rsidRPr="009851BF" w:rsidRDefault="00255895">
            <w:pPr>
              <w:pStyle w:val="TableRow"/>
              <w:rPr>
                <w:rFonts w:asciiTheme="minorHAnsi" w:hAnsiTheme="minorHAnsi" w:cstheme="minorHAnsi"/>
                <w:sz w:val="20"/>
                <w:szCs w:val="20"/>
              </w:rPr>
            </w:pPr>
            <w:r w:rsidRPr="009851BF">
              <w:rPr>
                <w:rFonts w:asciiTheme="minorHAnsi" w:hAnsiTheme="minorHAnsi" w:cstheme="minorHAnsi"/>
                <w:sz w:val="20"/>
                <w:szCs w:val="20"/>
              </w:rPr>
              <w:t>15.01.23</w:t>
            </w:r>
          </w:p>
        </w:tc>
      </w:tr>
      <w:tr w:rsidR="00E66558" w:rsidRPr="009851B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3BC87FC" w:rsidR="00E66558" w:rsidRPr="009851BF" w:rsidRDefault="005C33E3">
            <w:pPr>
              <w:pStyle w:val="TableRow"/>
              <w:rPr>
                <w:rFonts w:asciiTheme="minorHAnsi" w:hAnsiTheme="minorHAnsi" w:cstheme="minorHAnsi"/>
                <w:sz w:val="20"/>
                <w:szCs w:val="20"/>
              </w:rPr>
            </w:pPr>
            <w:r w:rsidRPr="009851BF">
              <w:rPr>
                <w:rFonts w:asciiTheme="minorHAnsi" w:hAnsiTheme="minorHAnsi" w:cstheme="minorHAnsi"/>
                <w:sz w:val="20"/>
                <w:szCs w:val="20"/>
              </w:rPr>
              <w:t>K. Green</w:t>
            </w:r>
          </w:p>
        </w:tc>
      </w:tr>
      <w:tr w:rsidR="00E66558" w:rsidRPr="009851B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5CE0444" w:rsidR="00E66558" w:rsidRPr="009851BF" w:rsidRDefault="005C33E3">
            <w:pPr>
              <w:pStyle w:val="TableRow"/>
              <w:rPr>
                <w:rFonts w:asciiTheme="minorHAnsi" w:hAnsiTheme="minorHAnsi" w:cstheme="minorHAnsi"/>
                <w:sz w:val="20"/>
                <w:szCs w:val="20"/>
              </w:rPr>
            </w:pPr>
            <w:r w:rsidRPr="009851BF">
              <w:rPr>
                <w:rFonts w:asciiTheme="minorHAnsi" w:hAnsiTheme="minorHAnsi" w:cstheme="minorHAnsi"/>
                <w:sz w:val="20"/>
                <w:szCs w:val="20"/>
              </w:rPr>
              <w:t xml:space="preserve">N. Peek </w:t>
            </w:r>
          </w:p>
        </w:tc>
      </w:tr>
      <w:tr w:rsidR="00E66558" w:rsidRPr="009851BF" w14:paraId="2A7D54D2" w14:textId="77777777" w:rsidTr="00480E2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EDC2B41" w:rsidR="00E66558" w:rsidRPr="009851BF" w:rsidRDefault="00480E2F">
            <w:pPr>
              <w:pStyle w:val="TableRow"/>
              <w:rPr>
                <w:rFonts w:asciiTheme="minorHAnsi" w:hAnsiTheme="minorHAnsi" w:cstheme="minorHAnsi"/>
                <w:sz w:val="20"/>
                <w:szCs w:val="20"/>
              </w:rPr>
            </w:pPr>
            <w:r w:rsidRPr="009851BF">
              <w:rPr>
                <w:rFonts w:asciiTheme="minorHAnsi" w:hAnsiTheme="minorHAnsi" w:cstheme="minorHAnsi"/>
                <w:sz w:val="20"/>
                <w:szCs w:val="20"/>
              </w:rPr>
              <w:t xml:space="preserve"> </w:t>
            </w:r>
          </w:p>
        </w:tc>
      </w:tr>
    </w:tbl>
    <w:bookmarkEnd w:id="2"/>
    <w:bookmarkEnd w:id="3"/>
    <w:bookmarkEnd w:id="4"/>
    <w:p w14:paraId="2A7D54D3" w14:textId="77777777" w:rsidR="00E66558" w:rsidRPr="009851BF" w:rsidRDefault="009D71E8">
      <w:pPr>
        <w:spacing w:before="480" w:line="240" w:lineRule="auto"/>
        <w:rPr>
          <w:rFonts w:asciiTheme="minorHAnsi" w:hAnsiTheme="minorHAnsi" w:cstheme="minorHAnsi"/>
          <w:b/>
          <w:color w:val="104F75"/>
          <w:sz w:val="20"/>
          <w:szCs w:val="20"/>
        </w:rPr>
      </w:pPr>
      <w:r w:rsidRPr="009851BF">
        <w:rPr>
          <w:rFonts w:asciiTheme="minorHAnsi" w:hAnsiTheme="minorHAnsi" w:cstheme="minorHAnsi"/>
          <w:b/>
          <w:color w:val="104F75"/>
          <w:sz w:val="20"/>
          <w:szCs w:val="20"/>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851B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b/>
                <w:sz w:val="20"/>
                <w:szCs w:val="20"/>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b/>
                <w:sz w:val="20"/>
                <w:szCs w:val="20"/>
              </w:rPr>
              <w:t>Amount</w:t>
            </w:r>
          </w:p>
        </w:tc>
      </w:tr>
      <w:tr w:rsidR="00E66558" w:rsidRPr="009851B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EBB88E6"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w:t>
            </w:r>
            <w:r w:rsidR="00127564" w:rsidRPr="009851BF">
              <w:rPr>
                <w:rFonts w:asciiTheme="minorHAnsi" w:hAnsiTheme="minorHAnsi" w:cstheme="minorHAnsi"/>
                <w:sz w:val="20"/>
                <w:szCs w:val="20"/>
              </w:rPr>
              <w:t>576 299</w:t>
            </w:r>
          </w:p>
        </w:tc>
      </w:tr>
      <w:tr w:rsidR="00E66558" w:rsidRPr="009851B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1C7AF6D"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w:t>
            </w:r>
            <w:r w:rsidR="00127564" w:rsidRPr="009851BF">
              <w:rPr>
                <w:rFonts w:asciiTheme="minorHAnsi" w:hAnsiTheme="minorHAnsi" w:cstheme="minorHAnsi"/>
                <w:sz w:val="20"/>
                <w:szCs w:val="20"/>
              </w:rPr>
              <w:t>163 668 (approx.)</w:t>
            </w:r>
          </w:p>
        </w:tc>
      </w:tr>
      <w:tr w:rsidR="00E66558" w:rsidRPr="009851B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86012E2"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w:t>
            </w:r>
            <w:r w:rsidR="005C33E3" w:rsidRPr="009851BF">
              <w:rPr>
                <w:rFonts w:asciiTheme="minorHAnsi" w:hAnsiTheme="minorHAnsi" w:cstheme="minorHAnsi"/>
                <w:sz w:val="20"/>
                <w:szCs w:val="20"/>
              </w:rPr>
              <w:t>0</w:t>
            </w:r>
          </w:p>
        </w:tc>
      </w:tr>
      <w:tr w:rsidR="00E66558" w:rsidRPr="009851B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851BF" w:rsidRDefault="009D71E8">
            <w:pPr>
              <w:pStyle w:val="TableRow"/>
              <w:rPr>
                <w:rFonts w:asciiTheme="minorHAnsi" w:hAnsiTheme="minorHAnsi" w:cstheme="minorHAnsi"/>
                <w:b/>
                <w:sz w:val="20"/>
                <w:szCs w:val="20"/>
              </w:rPr>
            </w:pPr>
            <w:r w:rsidRPr="009851BF">
              <w:rPr>
                <w:rFonts w:asciiTheme="minorHAnsi" w:hAnsiTheme="minorHAnsi" w:cstheme="minorHAnsi"/>
                <w:b/>
                <w:sz w:val="20"/>
                <w:szCs w:val="20"/>
              </w:rPr>
              <w:t>Total budget for this academic year</w:t>
            </w:r>
          </w:p>
          <w:p w14:paraId="2A7D54E1"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BA386A8" w:rsidR="00E66558" w:rsidRPr="009851BF" w:rsidRDefault="009D71E8" w:rsidP="00BB1BA8">
            <w:pPr>
              <w:pStyle w:val="TableRow"/>
              <w:rPr>
                <w:rFonts w:asciiTheme="minorHAnsi" w:hAnsiTheme="minorHAnsi" w:cstheme="minorHAnsi"/>
                <w:sz w:val="20"/>
                <w:szCs w:val="20"/>
              </w:rPr>
            </w:pPr>
            <w:r w:rsidRPr="009851BF">
              <w:rPr>
                <w:rFonts w:asciiTheme="minorHAnsi" w:hAnsiTheme="minorHAnsi" w:cstheme="minorHAnsi"/>
                <w:sz w:val="20"/>
                <w:szCs w:val="20"/>
              </w:rPr>
              <w:t>£</w:t>
            </w:r>
            <w:r w:rsidR="00127564" w:rsidRPr="009851BF">
              <w:rPr>
                <w:rFonts w:asciiTheme="minorHAnsi" w:hAnsiTheme="minorHAnsi" w:cstheme="minorHAnsi"/>
                <w:sz w:val="20"/>
                <w:szCs w:val="20"/>
              </w:rPr>
              <w:t>739967</w:t>
            </w:r>
          </w:p>
        </w:tc>
      </w:tr>
    </w:tbl>
    <w:p w14:paraId="2A7D54E4" w14:textId="77777777" w:rsidR="00E66558" w:rsidRPr="009851BF" w:rsidRDefault="009D71E8">
      <w:pPr>
        <w:pStyle w:val="Heading1"/>
        <w:rPr>
          <w:rFonts w:asciiTheme="minorHAnsi" w:hAnsiTheme="minorHAnsi" w:cstheme="minorHAnsi"/>
          <w:sz w:val="20"/>
          <w:szCs w:val="20"/>
        </w:rPr>
      </w:pPr>
      <w:r w:rsidRPr="009851BF">
        <w:rPr>
          <w:rFonts w:asciiTheme="minorHAnsi" w:hAnsiTheme="minorHAnsi" w:cstheme="minorHAnsi"/>
          <w:sz w:val="20"/>
          <w:szCs w:val="20"/>
        </w:rPr>
        <w:lastRenderedPageBreak/>
        <w:t>Part A: Pupil premium strategy plan</w:t>
      </w:r>
    </w:p>
    <w:p w14:paraId="2466FD11" w14:textId="1BE838C6" w:rsidR="00347F53" w:rsidRPr="009851BF" w:rsidRDefault="009D71E8" w:rsidP="00AD761A">
      <w:pPr>
        <w:pStyle w:val="Heading2"/>
        <w:rPr>
          <w:rFonts w:asciiTheme="minorHAnsi" w:hAnsiTheme="minorHAnsi" w:cstheme="minorHAnsi"/>
          <w:sz w:val="20"/>
          <w:szCs w:val="20"/>
        </w:rPr>
      </w:pPr>
      <w:bookmarkStart w:id="14" w:name="_Toc357771640"/>
      <w:bookmarkStart w:id="15" w:name="_Toc346793418"/>
      <w:r w:rsidRPr="009851BF">
        <w:rPr>
          <w:rFonts w:asciiTheme="minorHAnsi" w:hAnsiTheme="minorHAnsi" w:cstheme="minorHAnsi"/>
          <w:sz w:val="20"/>
          <w:szCs w:val="20"/>
        </w:rPr>
        <w:t>Statement of intent</w:t>
      </w:r>
    </w:p>
    <w:p w14:paraId="76B4E814" w14:textId="442C4C93" w:rsidR="009B0308" w:rsidRPr="009851BF" w:rsidRDefault="00D140D9" w:rsidP="00A46355">
      <w:pPr>
        <w:rPr>
          <w:rFonts w:asciiTheme="minorHAnsi" w:hAnsiTheme="minorHAnsi" w:cstheme="minorHAnsi"/>
          <w:sz w:val="20"/>
          <w:szCs w:val="20"/>
        </w:rPr>
      </w:pPr>
      <w:r w:rsidRPr="009851BF">
        <w:rPr>
          <w:rFonts w:asciiTheme="minorHAnsi" w:hAnsiTheme="minorHAnsi" w:cstheme="minorHAnsi"/>
          <w:sz w:val="20"/>
          <w:szCs w:val="20"/>
        </w:rPr>
        <w:t>Dixons Brooklands Academy</w:t>
      </w:r>
      <w:r w:rsidR="009B0308" w:rsidRPr="009851BF">
        <w:rPr>
          <w:rFonts w:asciiTheme="minorHAnsi" w:hAnsiTheme="minorHAnsi" w:cstheme="minorHAnsi"/>
          <w:sz w:val="20"/>
          <w:szCs w:val="20"/>
        </w:rPr>
        <w:t xml:space="preserve"> will use the pupil premium funding to achieve the following aims:</w:t>
      </w:r>
    </w:p>
    <w:p w14:paraId="098049DA" w14:textId="45C623CB" w:rsidR="009B0308" w:rsidRPr="009851BF" w:rsidRDefault="00A46355" w:rsidP="009B0308">
      <w:pPr>
        <w:pStyle w:val="ListParagraph"/>
        <w:numPr>
          <w:ilvl w:val="0"/>
          <w:numId w:val="15"/>
        </w:numPr>
        <w:rPr>
          <w:rFonts w:asciiTheme="minorHAnsi" w:hAnsiTheme="minorHAnsi" w:cstheme="minorHAnsi"/>
          <w:sz w:val="20"/>
          <w:szCs w:val="20"/>
        </w:rPr>
      </w:pPr>
      <w:r w:rsidRPr="009851BF">
        <w:rPr>
          <w:rFonts w:asciiTheme="minorHAnsi" w:hAnsiTheme="minorHAnsi" w:cstheme="minorHAnsi"/>
          <w:sz w:val="20"/>
          <w:szCs w:val="20"/>
        </w:rPr>
        <w:t>To remove barriers to the attainment and progress of students eligible for the pupil premium.</w:t>
      </w:r>
    </w:p>
    <w:p w14:paraId="1D1751D7" w14:textId="77777777" w:rsidR="00A46355" w:rsidRPr="009851BF" w:rsidRDefault="00A46355" w:rsidP="00A46355">
      <w:pPr>
        <w:pStyle w:val="ListParagraph"/>
        <w:numPr>
          <w:ilvl w:val="0"/>
          <w:numId w:val="0"/>
        </w:numPr>
        <w:ind w:left="720"/>
        <w:rPr>
          <w:rFonts w:asciiTheme="minorHAnsi" w:hAnsiTheme="minorHAnsi" w:cstheme="minorHAnsi"/>
          <w:sz w:val="20"/>
          <w:szCs w:val="20"/>
        </w:rPr>
      </w:pPr>
    </w:p>
    <w:p w14:paraId="2C86A260" w14:textId="2DF070A2" w:rsidR="00A46355" w:rsidRPr="009851BF" w:rsidRDefault="00A46355" w:rsidP="007D3830">
      <w:pPr>
        <w:pStyle w:val="ListParagraph"/>
        <w:numPr>
          <w:ilvl w:val="0"/>
          <w:numId w:val="15"/>
        </w:numPr>
        <w:rPr>
          <w:rFonts w:asciiTheme="minorHAnsi" w:hAnsiTheme="minorHAnsi" w:cstheme="minorHAnsi"/>
          <w:sz w:val="20"/>
          <w:szCs w:val="20"/>
        </w:rPr>
      </w:pPr>
      <w:r w:rsidRPr="009851BF">
        <w:rPr>
          <w:rFonts w:asciiTheme="minorHAnsi" w:hAnsiTheme="minorHAnsi" w:cstheme="minorHAnsi"/>
          <w:sz w:val="20"/>
          <w:szCs w:val="20"/>
        </w:rPr>
        <w:t>To increase the attainment and progress of students eligible for the pupil premium.</w:t>
      </w:r>
    </w:p>
    <w:p w14:paraId="7C1DCF90" w14:textId="12A96264" w:rsidR="007D3830" w:rsidRPr="009851BF" w:rsidRDefault="007D3830" w:rsidP="007D3830">
      <w:pPr>
        <w:pStyle w:val="ListParagraph"/>
        <w:numPr>
          <w:ilvl w:val="0"/>
          <w:numId w:val="0"/>
        </w:numPr>
        <w:ind w:left="720"/>
        <w:rPr>
          <w:rFonts w:asciiTheme="minorHAnsi" w:hAnsiTheme="minorHAnsi" w:cstheme="minorHAnsi"/>
          <w:sz w:val="20"/>
          <w:szCs w:val="20"/>
        </w:rPr>
      </w:pPr>
    </w:p>
    <w:p w14:paraId="066F0E37" w14:textId="4BFF8D3F" w:rsidR="00F817C7" w:rsidRPr="009851BF" w:rsidRDefault="00F817C7" w:rsidP="00F817C7">
      <w:pPr>
        <w:ind w:left="360"/>
        <w:rPr>
          <w:rFonts w:asciiTheme="minorHAnsi" w:hAnsiTheme="minorHAnsi" w:cstheme="minorHAnsi"/>
          <w:sz w:val="20"/>
          <w:szCs w:val="20"/>
        </w:rPr>
      </w:pPr>
      <w:r w:rsidRPr="009851BF">
        <w:rPr>
          <w:rFonts w:asciiTheme="minorHAnsi" w:hAnsiTheme="minorHAnsi" w:cstheme="minorHAnsi"/>
          <w:sz w:val="20"/>
          <w:szCs w:val="20"/>
        </w:rPr>
        <w:t>The pupil premium strategy plan is based on the identification of the specific challenges faced by our pupils who are eligible for the pupil premium. This approach considers both the academic challenges identified through diagnostic assessment and the non academic challenges that can negatively affect pupil’s access to education.</w:t>
      </w:r>
    </w:p>
    <w:p w14:paraId="25DA7D6F" w14:textId="102EE4A9" w:rsidR="007D3830" w:rsidRPr="009851BF" w:rsidRDefault="00D140D9" w:rsidP="00F817C7">
      <w:pPr>
        <w:ind w:left="360"/>
        <w:rPr>
          <w:rFonts w:asciiTheme="minorHAnsi" w:hAnsiTheme="minorHAnsi" w:cstheme="minorHAnsi"/>
          <w:sz w:val="20"/>
          <w:szCs w:val="20"/>
        </w:rPr>
      </w:pPr>
      <w:r w:rsidRPr="009851BF">
        <w:rPr>
          <w:rFonts w:asciiTheme="minorHAnsi" w:hAnsiTheme="minorHAnsi" w:cstheme="minorHAnsi"/>
          <w:sz w:val="20"/>
          <w:szCs w:val="20"/>
        </w:rPr>
        <w:t>Dixons Brooklands Academy’s</w:t>
      </w:r>
      <w:r w:rsidR="007D3830" w:rsidRPr="009851BF">
        <w:rPr>
          <w:rFonts w:asciiTheme="minorHAnsi" w:hAnsiTheme="minorHAnsi" w:cstheme="minorHAnsi"/>
          <w:sz w:val="20"/>
          <w:szCs w:val="20"/>
        </w:rPr>
        <w:t xml:space="preserve"> pupil premium strategy plan follows the structure recommended in the Education endowment foundation’s (EEF) pupil premium guide. This recommends the adoption of a tiered model that focuses on</w:t>
      </w:r>
    </w:p>
    <w:p w14:paraId="087F7F40" w14:textId="5B65F672" w:rsidR="007D3830" w:rsidRDefault="00801052" w:rsidP="00801052">
      <w:pPr>
        <w:ind w:left="720" w:hanging="360"/>
        <w:rPr>
          <w:rFonts w:asciiTheme="minorHAnsi" w:hAnsiTheme="minorHAnsi" w:cstheme="minorHAnsi"/>
          <w:sz w:val="20"/>
          <w:szCs w:val="20"/>
        </w:rPr>
      </w:pPr>
      <w:r>
        <w:rPr>
          <w:rFonts w:asciiTheme="minorHAnsi" w:hAnsiTheme="minorHAnsi" w:cstheme="minorHAnsi"/>
          <w:sz w:val="20"/>
          <w:szCs w:val="20"/>
        </w:rPr>
        <w:t>Quality first teaching</w:t>
      </w:r>
    </w:p>
    <w:p w14:paraId="71AC5A4A" w14:textId="0E41D73A" w:rsidR="00801052" w:rsidRPr="00801052" w:rsidRDefault="00801052" w:rsidP="00801052">
      <w:pPr>
        <w:ind w:left="426" w:hanging="66"/>
        <w:rPr>
          <w:rFonts w:asciiTheme="minorHAnsi" w:hAnsiTheme="minorHAnsi" w:cstheme="minorHAnsi"/>
          <w:sz w:val="20"/>
          <w:szCs w:val="20"/>
        </w:rPr>
      </w:pPr>
      <w:r>
        <w:rPr>
          <w:rFonts w:asciiTheme="minorHAnsi" w:hAnsiTheme="minorHAnsi" w:cstheme="minorHAnsi"/>
          <w:sz w:val="20"/>
          <w:szCs w:val="20"/>
        </w:rPr>
        <w:t>We understand the importance of quality first teaching to meeting individual needs. We develop our teachers pedagogy through timetabled instructional coaching and deliberate practi</w:t>
      </w:r>
      <w:r w:rsidR="0074777E">
        <w:rPr>
          <w:rFonts w:asciiTheme="minorHAnsi" w:hAnsiTheme="minorHAnsi" w:cstheme="minorHAnsi"/>
          <w:sz w:val="20"/>
          <w:szCs w:val="20"/>
        </w:rPr>
        <w:t>c</w:t>
      </w:r>
      <w:r>
        <w:rPr>
          <w:rFonts w:asciiTheme="minorHAnsi" w:hAnsiTheme="minorHAnsi" w:cstheme="minorHAnsi"/>
          <w:sz w:val="20"/>
          <w:szCs w:val="20"/>
        </w:rPr>
        <w:t>e. Teaching staff have dedicated time every week given to practice and coaching both as a group and one-to-one.</w:t>
      </w:r>
    </w:p>
    <w:p w14:paraId="4D113FEF" w14:textId="2DC0960C" w:rsidR="007D3830" w:rsidRDefault="007D3830" w:rsidP="00801052">
      <w:pPr>
        <w:ind w:left="720" w:hanging="360"/>
        <w:rPr>
          <w:rFonts w:asciiTheme="minorHAnsi" w:hAnsiTheme="minorHAnsi" w:cstheme="minorHAnsi"/>
          <w:sz w:val="20"/>
          <w:szCs w:val="20"/>
        </w:rPr>
      </w:pPr>
      <w:r w:rsidRPr="00801052">
        <w:rPr>
          <w:rFonts w:asciiTheme="minorHAnsi" w:hAnsiTheme="minorHAnsi" w:cstheme="minorHAnsi"/>
          <w:sz w:val="20"/>
          <w:szCs w:val="20"/>
        </w:rPr>
        <w:t>Targeted academic support</w:t>
      </w:r>
    </w:p>
    <w:p w14:paraId="50490DF2" w14:textId="72E03249" w:rsidR="00801052" w:rsidRPr="00801052" w:rsidRDefault="0074777E" w:rsidP="0074777E">
      <w:pPr>
        <w:ind w:left="426"/>
        <w:rPr>
          <w:rFonts w:asciiTheme="minorHAnsi" w:hAnsiTheme="minorHAnsi" w:cstheme="minorHAnsi"/>
          <w:sz w:val="20"/>
          <w:szCs w:val="20"/>
        </w:rPr>
      </w:pPr>
      <w:r>
        <w:rPr>
          <w:rFonts w:asciiTheme="minorHAnsi" w:hAnsiTheme="minorHAnsi" w:cstheme="minorHAnsi"/>
          <w:sz w:val="20"/>
          <w:szCs w:val="20"/>
        </w:rPr>
        <w:t xml:space="preserve">We establish gaps that our students have on entry to Dixons Brooklands Academy and take action to ensure these gaps are rapidly closed, this includes the deployment of our strongest teachers onto year 7 classes, targeted academic and reading support. In addition to our 28 lessons a week we also run a 25 minute morning meeting every day to revisit powerful knowledge. </w:t>
      </w:r>
      <w:r w:rsidRPr="0074777E">
        <w:rPr>
          <w:rFonts w:asciiTheme="minorHAnsi" w:hAnsiTheme="minorHAnsi" w:cstheme="minorHAnsi"/>
          <w:sz w:val="20"/>
          <w:szCs w:val="20"/>
        </w:rPr>
        <w:t>Other interventions are</w:t>
      </w:r>
      <w:r>
        <w:rPr>
          <w:rFonts w:asciiTheme="minorHAnsi" w:hAnsiTheme="minorHAnsi" w:cstheme="minorHAnsi"/>
          <w:sz w:val="20"/>
          <w:szCs w:val="20"/>
        </w:rPr>
        <w:t xml:space="preserve"> </w:t>
      </w:r>
      <w:r w:rsidRPr="0074777E">
        <w:rPr>
          <w:rFonts w:asciiTheme="minorHAnsi" w:hAnsiTheme="minorHAnsi" w:cstheme="minorHAnsi"/>
          <w:sz w:val="20"/>
          <w:szCs w:val="20"/>
        </w:rPr>
        <w:t xml:space="preserve">implemented based on </w:t>
      </w:r>
      <w:r>
        <w:rPr>
          <w:rFonts w:asciiTheme="minorHAnsi" w:hAnsiTheme="minorHAnsi" w:cstheme="minorHAnsi"/>
          <w:sz w:val="20"/>
          <w:szCs w:val="20"/>
        </w:rPr>
        <w:t xml:space="preserve">formative assessment and </w:t>
      </w:r>
      <w:r w:rsidRPr="0074777E">
        <w:rPr>
          <w:rFonts w:asciiTheme="minorHAnsi" w:hAnsiTheme="minorHAnsi" w:cstheme="minorHAnsi"/>
          <w:sz w:val="20"/>
          <w:szCs w:val="20"/>
        </w:rPr>
        <w:t>data to ensure that any groups or individuals who are currently lower attaining in any</w:t>
      </w:r>
      <w:r>
        <w:rPr>
          <w:rFonts w:asciiTheme="minorHAnsi" w:hAnsiTheme="minorHAnsi" w:cstheme="minorHAnsi"/>
          <w:sz w:val="20"/>
          <w:szCs w:val="20"/>
        </w:rPr>
        <w:t xml:space="preserve"> </w:t>
      </w:r>
      <w:r w:rsidRPr="0074777E">
        <w:rPr>
          <w:rFonts w:asciiTheme="minorHAnsi" w:hAnsiTheme="minorHAnsi" w:cstheme="minorHAnsi"/>
          <w:sz w:val="20"/>
          <w:szCs w:val="20"/>
        </w:rPr>
        <w:t>area are supported to make accelerated progress.</w:t>
      </w:r>
    </w:p>
    <w:p w14:paraId="13D62FFF" w14:textId="0B77568B" w:rsidR="007D3830" w:rsidRDefault="0074777E" w:rsidP="0074777E">
      <w:pPr>
        <w:ind w:left="720" w:hanging="360"/>
        <w:rPr>
          <w:rFonts w:asciiTheme="minorHAnsi" w:hAnsiTheme="minorHAnsi" w:cstheme="minorHAnsi"/>
          <w:sz w:val="20"/>
          <w:szCs w:val="20"/>
        </w:rPr>
      </w:pPr>
      <w:r>
        <w:rPr>
          <w:rFonts w:asciiTheme="minorHAnsi" w:hAnsiTheme="minorHAnsi" w:cstheme="minorHAnsi"/>
          <w:sz w:val="20"/>
          <w:szCs w:val="20"/>
        </w:rPr>
        <w:t xml:space="preserve">  </w:t>
      </w:r>
      <w:r w:rsidR="007D3830" w:rsidRPr="0074777E">
        <w:rPr>
          <w:rFonts w:asciiTheme="minorHAnsi" w:hAnsiTheme="minorHAnsi" w:cstheme="minorHAnsi"/>
          <w:sz w:val="20"/>
          <w:szCs w:val="20"/>
        </w:rPr>
        <w:t>Wider strategies</w:t>
      </w:r>
    </w:p>
    <w:p w14:paraId="26BDA18C" w14:textId="7DF8FC71" w:rsidR="00577507" w:rsidRDefault="000A78AC" w:rsidP="00577507">
      <w:pPr>
        <w:ind w:left="426"/>
        <w:rPr>
          <w:rFonts w:asciiTheme="minorHAnsi" w:hAnsiTheme="minorHAnsi" w:cstheme="minorHAnsi"/>
          <w:sz w:val="20"/>
          <w:szCs w:val="20"/>
        </w:rPr>
      </w:pPr>
      <w:r>
        <w:rPr>
          <w:rFonts w:asciiTheme="minorHAnsi" w:hAnsiTheme="minorHAnsi" w:cstheme="minorHAnsi"/>
          <w:sz w:val="20"/>
          <w:szCs w:val="20"/>
        </w:rPr>
        <w:t xml:space="preserve">Careful consideration has been given to identifying individual student’s barriers to learning. We recognise that barriers to learning vary by individual. </w:t>
      </w:r>
      <w:r w:rsidR="00F20824">
        <w:rPr>
          <w:rFonts w:asciiTheme="minorHAnsi" w:hAnsiTheme="minorHAnsi" w:cstheme="minorHAnsi"/>
          <w:sz w:val="20"/>
          <w:szCs w:val="20"/>
        </w:rPr>
        <w:t>We are committed to minimising and removing barriers to learning for all our students. To do this</w:t>
      </w:r>
      <w:r w:rsidR="00F20824" w:rsidRPr="00F20824">
        <w:rPr>
          <w:rFonts w:asciiTheme="minorHAnsi" w:hAnsiTheme="minorHAnsi" w:cstheme="minorHAnsi"/>
          <w:sz w:val="20"/>
          <w:szCs w:val="20"/>
        </w:rPr>
        <w:t>, we have</w:t>
      </w:r>
      <w:r w:rsidR="00577507">
        <w:rPr>
          <w:rFonts w:asciiTheme="minorHAnsi" w:hAnsiTheme="minorHAnsi" w:cstheme="minorHAnsi"/>
          <w:sz w:val="20"/>
          <w:szCs w:val="20"/>
        </w:rPr>
        <w:t xml:space="preserve"> </w:t>
      </w:r>
      <w:r w:rsidR="00F20824" w:rsidRPr="00F20824">
        <w:rPr>
          <w:rFonts w:asciiTheme="minorHAnsi" w:hAnsiTheme="minorHAnsi" w:cstheme="minorHAnsi"/>
          <w:sz w:val="20"/>
          <w:szCs w:val="20"/>
        </w:rPr>
        <w:t>employed a trained</w:t>
      </w:r>
      <w:r w:rsidR="00577507">
        <w:rPr>
          <w:rFonts w:asciiTheme="minorHAnsi" w:hAnsiTheme="minorHAnsi" w:cstheme="minorHAnsi"/>
          <w:sz w:val="20"/>
          <w:szCs w:val="20"/>
        </w:rPr>
        <w:t xml:space="preserve"> </w:t>
      </w:r>
      <w:r w:rsidR="00F20824" w:rsidRPr="00F20824">
        <w:rPr>
          <w:rFonts w:asciiTheme="minorHAnsi" w:hAnsiTheme="minorHAnsi" w:cstheme="minorHAnsi"/>
          <w:sz w:val="20"/>
          <w:szCs w:val="20"/>
        </w:rPr>
        <w:t>counsellor</w:t>
      </w:r>
      <w:r w:rsidR="00577507">
        <w:rPr>
          <w:rFonts w:asciiTheme="minorHAnsi" w:hAnsiTheme="minorHAnsi" w:cstheme="minorHAnsi"/>
          <w:sz w:val="20"/>
          <w:szCs w:val="20"/>
        </w:rPr>
        <w:t xml:space="preserve"> and </w:t>
      </w:r>
      <w:r w:rsidR="00F20824" w:rsidRPr="00F20824">
        <w:rPr>
          <w:rFonts w:asciiTheme="minorHAnsi" w:hAnsiTheme="minorHAnsi" w:cstheme="minorHAnsi"/>
          <w:sz w:val="20"/>
          <w:szCs w:val="20"/>
        </w:rPr>
        <w:t>pastoral co-teachers to provide well-targeted support to improve attendance, behaviour,</w:t>
      </w:r>
      <w:r w:rsidR="00577507">
        <w:rPr>
          <w:rFonts w:asciiTheme="minorHAnsi" w:hAnsiTheme="minorHAnsi" w:cstheme="minorHAnsi"/>
          <w:sz w:val="20"/>
          <w:szCs w:val="20"/>
        </w:rPr>
        <w:t xml:space="preserve"> </w:t>
      </w:r>
      <w:r w:rsidR="00F20824" w:rsidRPr="00F20824">
        <w:rPr>
          <w:rFonts w:asciiTheme="minorHAnsi" w:hAnsiTheme="minorHAnsi" w:cstheme="minorHAnsi"/>
          <w:sz w:val="20"/>
          <w:szCs w:val="20"/>
        </w:rPr>
        <w:t>social and emotional wellbeing or links with families where these are barriers to a student’s learning. We have very clear rules</w:t>
      </w:r>
      <w:r w:rsidR="00577507">
        <w:rPr>
          <w:rFonts w:asciiTheme="minorHAnsi" w:hAnsiTheme="minorHAnsi" w:cstheme="minorHAnsi"/>
          <w:sz w:val="20"/>
          <w:szCs w:val="20"/>
        </w:rPr>
        <w:t xml:space="preserve"> </w:t>
      </w:r>
      <w:r w:rsidR="00F20824" w:rsidRPr="00F20824">
        <w:rPr>
          <w:rFonts w:asciiTheme="minorHAnsi" w:hAnsiTheme="minorHAnsi" w:cstheme="minorHAnsi"/>
          <w:sz w:val="20"/>
          <w:szCs w:val="20"/>
        </w:rPr>
        <w:t>about homework and equipment because students have to be ready to learn</w:t>
      </w:r>
      <w:r w:rsidR="00577507">
        <w:rPr>
          <w:rFonts w:asciiTheme="minorHAnsi" w:hAnsiTheme="minorHAnsi" w:cstheme="minorHAnsi"/>
          <w:sz w:val="20"/>
          <w:szCs w:val="20"/>
        </w:rPr>
        <w:t xml:space="preserve">, free equipment and uniform is provided before school for any student that needs it. </w:t>
      </w:r>
    </w:p>
    <w:p w14:paraId="7C3FCD03" w14:textId="6687CE92" w:rsidR="00F20824" w:rsidRPr="0074777E" w:rsidRDefault="00577507" w:rsidP="00577507">
      <w:pPr>
        <w:ind w:left="426"/>
        <w:rPr>
          <w:rFonts w:asciiTheme="minorHAnsi" w:hAnsiTheme="minorHAnsi" w:cstheme="minorHAnsi"/>
          <w:sz w:val="20"/>
          <w:szCs w:val="20"/>
        </w:rPr>
      </w:pPr>
      <w:r w:rsidRPr="00577507">
        <w:rPr>
          <w:rFonts w:asciiTheme="minorHAnsi" w:hAnsiTheme="minorHAnsi" w:cstheme="minorHAnsi"/>
          <w:sz w:val="20"/>
          <w:szCs w:val="20"/>
        </w:rPr>
        <w:t>We</w:t>
      </w:r>
      <w:r>
        <w:rPr>
          <w:rFonts w:asciiTheme="minorHAnsi" w:hAnsiTheme="minorHAnsi" w:cstheme="minorHAnsi"/>
          <w:sz w:val="20"/>
          <w:szCs w:val="20"/>
        </w:rPr>
        <w:t xml:space="preserve"> </w:t>
      </w:r>
      <w:r w:rsidRPr="00577507">
        <w:rPr>
          <w:rFonts w:asciiTheme="minorHAnsi" w:hAnsiTheme="minorHAnsi" w:cstheme="minorHAnsi"/>
          <w:sz w:val="20"/>
          <w:szCs w:val="20"/>
        </w:rPr>
        <w:t>never confuse eligibility for the Pupil Premium with low ability, and focus on supporting our disadvantaged</w:t>
      </w:r>
      <w:r>
        <w:rPr>
          <w:rFonts w:asciiTheme="minorHAnsi" w:hAnsiTheme="minorHAnsi" w:cstheme="minorHAnsi"/>
          <w:sz w:val="20"/>
          <w:szCs w:val="20"/>
        </w:rPr>
        <w:t xml:space="preserve"> </w:t>
      </w:r>
      <w:r w:rsidRPr="00577507">
        <w:rPr>
          <w:rFonts w:asciiTheme="minorHAnsi" w:hAnsiTheme="minorHAnsi" w:cstheme="minorHAnsi"/>
          <w:sz w:val="20"/>
          <w:szCs w:val="20"/>
        </w:rPr>
        <w:t>students to achieve the highest levels.</w:t>
      </w:r>
    </w:p>
    <w:p w14:paraId="37AA65DB" w14:textId="77777777" w:rsidR="00D02F17" w:rsidRDefault="00D02F17" w:rsidP="007D3830">
      <w:pPr>
        <w:rPr>
          <w:rFonts w:asciiTheme="minorHAnsi" w:hAnsiTheme="minorHAnsi" w:cstheme="minorHAnsi"/>
          <w:sz w:val="20"/>
          <w:szCs w:val="20"/>
        </w:rPr>
      </w:pPr>
    </w:p>
    <w:p w14:paraId="7F99913F" w14:textId="1AC9CF88" w:rsidR="0071103A" w:rsidRPr="009851BF" w:rsidRDefault="0071103A" w:rsidP="007D3830">
      <w:pPr>
        <w:rPr>
          <w:rFonts w:asciiTheme="minorHAnsi" w:hAnsiTheme="minorHAnsi" w:cstheme="minorHAnsi"/>
          <w:sz w:val="20"/>
          <w:szCs w:val="20"/>
        </w:rPr>
      </w:pPr>
      <w:r w:rsidRPr="009851BF">
        <w:rPr>
          <w:rFonts w:asciiTheme="minorHAnsi" w:hAnsiTheme="minorHAnsi" w:cstheme="minorHAnsi"/>
          <w:sz w:val="20"/>
          <w:szCs w:val="20"/>
        </w:rPr>
        <w:t xml:space="preserve"> </w:t>
      </w:r>
    </w:p>
    <w:p w14:paraId="2A7D54EB" w14:textId="4D22D143" w:rsidR="00E66558" w:rsidRPr="009851BF" w:rsidRDefault="009D71E8">
      <w:pPr>
        <w:pStyle w:val="Heading2"/>
        <w:spacing w:before="600"/>
        <w:rPr>
          <w:rFonts w:asciiTheme="minorHAnsi" w:hAnsiTheme="minorHAnsi" w:cstheme="minorHAnsi"/>
          <w:sz w:val="20"/>
          <w:szCs w:val="20"/>
        </w:rPr>
      </w:pPr>
      <w:r w:rsidRPr="009851BF">
        <w:rPr>
          <w:rFonts w:asciiTheme="minorHAnsi" w:hAnsiTheme="minorHAnsi" w:cstheme="minorHAnsi"/>
          <w:sz w:val="20"/>
          <w:szCs w:val="20"/>
        </w:rPr>
        <w:lastRenderedPageBreak/>
        <w:t>Challenges</w:t>
      </w:r>
    </w:p>
    <w:p w14:paraId="2A7D54EC" w14:textId="77777777" w:rsidR="00E66558" w:rsidRPr="009851BF" w:rsidRDefault="009D71E8">
      <w:pPr>
        <w:spacing w:before="120" w:line="240" w:lineRule="auto"/>
        <w:textAlignment w:val="baseline"/>
        <w:outlineLvl w:val="0"/>
        <w:rPr>
          <w:rFonts w:asciiTheme="minorHAnsi" w:hAnsiTheme="minorHAnsi" w:cstheme="minorHAnsi"/>
          <w:sz w:val="20"/>
          <w:szCs w:val="20"/>
        </w:rPr>
      </w:pPr>
      <w:r w:rsidRPr="009851BF">
        <w:rPr>
          <w:rFonts w:asciiTheme="minorHAnsi" w:hAnsiTheme="minorHAnsi" w:cstheme="minorHAnsi"/>
          <w:bCs/>
          <w:color w:val="auto"/>
          <w:sz w:val="20"/>
          <w:szCs w:val="20"/>
        </w:rPr>
        <w:t>This details</w:t>
      </w:r>
      <w:r w:rsidRPr="009851BF">
        <w:rPr>
          <w:rFonts w:asciiTheme="minorHAnsi" w:hAnsiTheme="minorHAnsi" w:cstheme="minorHAnsi"/>
          <w:color w:val="auto"/>
          <w:sz w:val="20"/>
          <w:szCs w:val="20"/>
        </w:rPr>
        <w:t xml:space="preserve"> the key</w:t>
      </w:r>
      <w:r w:rsidRPr="009851BF">
        <w:rPr>
          <w:rFonts w:asciiTheme="minorHAnsi" w:hAnsiTheme="minorHAnsi" w:cstheme="minorHAnsi"/>
          <w:bCs/>
          <w:color w:val="auto"/>
          <w:sz w:val="20"/>
          <w:szCs w:val="20"/>
        </w:rPr>
        <w:t xml:space="preserve"> </w:t>
      </w:r>
      <w:r w:rsidRPr="009851BF">
        <w:rPr>
          <w:rFonts w:asciiTheme="minorHAnsi" w:hAnsiTheme="minorHAnsi" w:cstheme="minorHAnsi"/>
          <w:color w:val="auto"/>
          <w:sz w:val="20"/>
          <w:szCs w:val="20"/>
        </w:rPr>
        <w:t xml:space="preserve">challenges to </w:t>
      </w:r>
      <w:r w:rsidRPr="009851BF">
        <w:rPr>
          <w:rFonts w:asciiTheme="minorHAnsi" w:hAnsiTheme="minorHAnsi" w:cstheme="minorHAnsi"/>
          <w:bCs/>
          <w:color w:val="auto"/>
          <w:sz w:val="20"/>
          <w:szCs w:val="20"/>
        </w:rPr>
        <w:t>achievement that we have</w:t>
      </w:r>
      <w:r w:rsidRPr="009851BF">
        <w:rPr>
          <w:rFonts w:asciiTheme="minorHAnsi" w:hAnsiTheme="minorHAnsi" w:cstheme="minorHAnsi"/>
          <w:color w:val="auto"/>
          <w:sz w:val="20"/>
          <w:szCs w:val="20"/>
        </w:rPr>
        <w:t xml:space="preserve"> identified among </w:t>
      </w:r>
      <w:r w:rsidRPr="009851BF">
        <w:rPr>
          <w:rFonts w:asciiTheme="minorHAnsi" w:hAnsiTheme="minorHAnsi" w:cstheme="minorHAnsi"/>
          <w:bCs/>
          <w:color w:val="auto"/>
          <w:sz w:val="20"/>
          <w:szCs w:val="20"/>
        </w:rPr>
        <w:t>our</w:t>
      </w:r>
      <w:r w:rsidRPr="009851BF">
        <w:rPr>
          <w:rFonts w:asciiTheme="minorHAnsi" w:hAnsiTheme="minorHAnsi" w:cstheme="minorHAnsi"/>
          <w:color w:val="auto"/>
          <w:sz w:val="20"/>
          <w:szCs w:val="20"/>
        </w:rPr>
        <w:t xml:space="preserve"> disadvantaged pupils.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77"/>
        <w:gridCol w:w="8009"/>
      </w:tblGrid>
      <w:tr w:rsidR="00E66558" w:rsidRPr="009851BF" w14:paraId="2A7D54EF" w14:textId="77777777" w:rsidTr="0071103A">
        <w:tc>
          <w:tcPr>
            <w:tcW w:w="1477" w:type="dxa"/>
            <w:shd w:val="clear" w:color="auto" w:fill="D8E2E9"/>
            <w:tcMar>
              <w:top w:w="0" w:type="dxa"/>
              <w:left w:w="108" w:type="dxa"/>
              <w:bottom w:w="0" w:type="dxa"/>
              <w:right w:w="108" w:type="dxa"/>
            </w:tcMar>
          </w:tcPr>
          <w:p w14:paraId="2A7D54ED" w14:textId="77777777" w:rsidR="00E66558" w:rsidRPr="009851BF" w:rsidRDefault="009D71E8">
            <w:pPr>
              <w:pStyle w:val="TableHeader"/>
              <w:jc w:val="left"/>
              <w:rPr>
                <w:rFonts w:asciiTheme="minorHAnsi" w:hAnsiTheme="minorHAnsi" w:cstheme="minorHAnsi"/>
                <w:sz w:val="20"/>
                <w:szCs w:val="20"/>
              </w:rPr>
            </w:pPr>
            <w:r w:rsidRPr="009851BF">
              <w:rPr>
                <w:rFonts w:asciiTheme="minorHAnsi" w:hAnsiTheme="minorHAnsi" w:cstheme="minorHAnsi"/>
                <w:sz w:val="20"/>
                <w:szCs w:val="20"/>
              </w:rPr>
              <w:t>Challenge number</w:t>
            </w:r>
          </w:p>
        </w:tc>
        <w:tc>
          <w:tcPr>
            <w:tcW w:w="8009" w:type="dxa"/>
            <w:shd w:val="clear" w:color="auto" w:fill="D8E2E9"/>
            <w:tcMar>
              <w:top w:w="0" w:type="dxa"/>
              <w:left w:w="108" w:type="dxa"/>
              <w:bottom w:w="0" w:type="dxa"/>
              <w:right w:w="108" w:type="dxa"/>
            </w:tcMar>
          </w:tcPr>
          <w:p w14:paraId="2A7D54EE" w14:textId="77777777" w:rsidR="00E66558" w:rsidRPr="009851BF" w:rsidRDefault="009D71E8">
            <w:pPr>
              <w:pStyle w:val="TableHeader"/>
              <w:jc w:val="left"/>
              <w:rPr>
                <w:rFonts w:asciiTheme="minorHAnsi" w:hAnsiTheme="minorHAnsi" w:cstheme="minorHAnsi"/>
                <w:sz w:val="20"/>
                <w:szCs w:val="20"/>
              </w:rPr>
            </w:pPr>
            <w:r w:rsidRPr="009851BF">
              <w:rPr>
                <w:rFonts w:asciiTheme="minorHAnsi" w:hAnsiTheme="minorHAnsi" w:cstheme="minorHAnsi"/>
                <w:sz w:val="20"/>
                <w:szCs w:val="20"/>
              </w:rPr>
              <w:t xml:space="preserve">Detail of challenge </w:t>
            </w:r>
          </w:p>
        </w:tc>
      </w:tr>
      <w:tr w:rsidR="00E66558" w:rsidRPr="009851BF" w14:paraId="2A7D54F2" w14:textId="77777777" w:rsidTr="0071103A">
        <w:tc>
          <w:tcPr>
            <w:tcW w:w="1477" w:type="dxa"/>
            <w:shd w:val="clear" w:color="auto" w:fill="auto"/>
            <w:tcMar>
              <w:top w:w="0" w:type="dxa"/>
              <w:left w:w="108" w:type="dxa"/>
              <w:bottom w:w="0" w:type="dxa"/>
              <w:right w:w="108" w:type="dxa"/>
            </w:tcMar>
          </w:tcPr>
          <w:p w14:paraId="2A7D54F0"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1</w:t>
            </w:r>
          </w:p>
        </w:tc>
        <w:tc>
          <w:tcPr>
            <w:tcW w:w="8009" w:type="dxa"/>
            <w:shd w:val="clear" w:color="auto" w:fill="auto"/>
            <w:tcMar>
              <w:top w:w="0" w:type="dxa"/>
              <w:left w:w="108" w:type="dxa"/>
              <w:bottom w:w="0" w:type="dxa"/>
              <w:right w:w="108" w:type="dxa"/>
            </w:tcMar>
          </w:tcPr>
          <w:p w14:paraId="07D800D9" w14:textId="77777777" w:rsidR="00E66558" w:rsidRDefault="005E4680" w:rsidP="0071103A">
            <w:pPr>
              <w:pStyle w:val="TableRowCentered"/>
              <w:ind w:left="0"/>
              <w:jc w:val="left"/>
              <w:rPr>
                <w:rFonts w:asciiTheme="minorHAnsi" w:hAnsiTheme="minorHAnsi" w:cstheme="minorHAnsi"/>
                <w:sz w:val="20"/>
              </w:rPr>
            </w:pPr>
            <w:r w:rsidRPr="009851BF">
              <w:rPr>
                <w:rFonts w:asciiTheme="minorHAnsi" w:hAnsiTheme="minorHAnsi" w:cstheme="minorHAnsi"/>
                <w:sz w:val="20"/>
              </w:rPr>
              <w:t xml:space="preserve">Literacy </w:t>
            </w:r>
            <w:r w:rsidR="0041453F" w:rsidRPr="009851BF">
              <w:rPr>
                <w:rFonts w:asciiTheme="minorHAnsi" w:hAnsiTheme="minorHAnsi" w:cstheme="minorHAnsi"/>
                <w:sz w:val="20"/>
              </w:rPr>
              <w:t>of</w:t>
            </w:r>
            <w:r w:rsidR="002E43A9" w:rsidRPr="009851BF">
              <w:rPr>
                <w:rFonts w:asciiTheme="minorHAnsi" w:hAnsiTheme="minorHAnsi" w:cstheme="minorHAnsi"/>
                <w:sz w:val="20"/>
              </w:rPr>
              <w:t xml:space="preserve"> disadvantaged students </w:t>
            </w:r>
            <w:r w:rsidR="00F444BC">
              <w:rPr>
                <w:rFonts w:asciiTheme="minorHAnsi" w:hAnsiTheme="minorHAnsi" w:cstheme="minorHAnsi"/>
                <w:sz w:val="20"/>
              </w:rPr>
              <w:t>is</w:t>
            </w:r>
            <w:r w:rsidR="002E43A9" w:rsidRPr="009851BF">
              <w:rPr>
                <w:rFonts w:asciiTheme="minorHAnsi" w:hAnsiTheme="minorHAnsi" w:cstheme="minorHAnsi"/>
                <w:sz w:val="20"/>
              </w:rPr>
              <w:t xml:space="preserve"> </w:t>
            </w:r>
            <w:r w:rsidRPr="009851BF">
              <w:rPr>
                <w:rFonts w:asciiTheme="minorHAnsi" w:hAnsiTheme="minorHAnsi" w:cstheme="minorHAnsi"/>
                <w:sz w:val="20"/>
              </w:rPr>
              <w:t>lower than others on intake.</w:t>
            </w:r>
            <w:r w:rsidR="00E11840" w:rsidRPr="009851BF">
              <w:rPr>
                <w:rFonts w:asciiTheme="minorHAnsi" w:hAnsiTheme="minorHAnsi" w:cstheme="minorHAnsi"/>
                <w:sz w:val="20"/>
              </w:rPr>
              <w:t xml:space="preserve"> </w:t>
            </w:r>
          </w:p>
          <w:p w14:paraId="2A7D54F1" w14:textId="0FF8A621" w:rsidR="00F444BC" w:rsidRPr="009851BF" w:rsidRDefault="00F444BC" w:rsidP="0071103A">
            <w:pPr>
              <w:pStyle w:val="TableRowCentered"/>
              <w:ind w:left="0"/>
              <w:jc w:val="left"/>
              <w:rPr>
                <w:rFonts w:asciiTheme="minorHAnsi" w:hAnsiTheme="minorHAnsi" w:cstheme="minorHAnsi"/>
                <w:sz w:val="20"/>
              </w:rPr>
            </w:pPr>
            <w:r>
              <w:rPr>
                <w:rFonts w:asciiTheme="minorHAnsi" w:hAnsiTheme="minorHAnsi" w:cstheme="minorHAnsi"/>
                <w:sz w:val="20"/>
              </w:rPr>
              <w:t>Analysis of reading age data on Y7 intake shows disadvantaged students have average gap of    -13 months between reading age and chronological age, compared to -4 months for others.</w:t>
            </w:r>
          </w:p>
        </w:tc>
      </w:tr>
      <w:tr w:rsidR="00E66558" w:rsidRPr="009851BF" w14:paraId="2A7D54F5" w14:textId="77777777" w:rsidTr="0071103A">
        <w:tc>
          <w:tcPr>
            <w:tcW w:w="1477" w:type="dxa"/>
            <w:shd w:val="clear" w:color="auto" w:fill="auto"/>
            <w:tcMar>
              <w:top w:w="0" w:type="dxa"/>
              <w:left w:w="108" w:type="dxa"/>
              <w:bottom w:w="0" w:type="dxa"/>
              <w:right w:w="108" w:type="dxa"/>
            </w:tcMar>
          </w:tcPr>
          <w:p w14:paraId="2A7D54F3"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2</w:t>
            </w:r>
          </w:p>
        </w:tc>
        <w:tc>
          <w:tcPr>
            <w:tcW w:w="8009" w:type="dxa"/>
            <w:shd w:val="clear" w:color="auto" w:fill="auto"/>
            <w:tcMar>
              <w:top w:w="0" w:type="dxa"/>
              <w:left w:w="108" w:type="dxa"/>
              <w:bottom w:w="0" w:type="dxa"/>
              <w:right w:w="108" w:type="dxa"/>
            </w:tcMar>
          </w:tcPr>
          <w:p w14:paraId="7F8FA4CB" w14:textId="47B4F03E" w:rsidR="00E66558" w:rsidRDefault="00177F2C" w:rsidP="005E4680">
            <w:pPr>
              <w:pStyle w:val="TableRowCentered"/>
              <w:ind w:left="0"/>
              <w:jc w:val="left"/>
              <w:rPr>
                <w:rFonts w:asciiTheme="minorHAnsi" w:hAnsiTheme="minorHAnsi" w:cstheme="minorHAnsi"/>
                <w:sz w:val="20"/>
              </w:rPr>
            </w:pPr>
            <w:r>
              <w:rPr>
                <w:rFonts w:asciiTheme="minorHAnsi" w:hAnsiTheme="minorHAnsi" w:cstheme="minorHAnsi"/>
                <w:sz w:val="20"/>
              </w:rPr>
              <w:t>Academic outcomes</w:t>
            </w:r>
            <w:r w:rsidR="00F444BC">
              <w:rPr>
                <w:rFonts w:asciiTheme="minorHAnsi" w:hAnsiTheme="minorHAnsi" w:cstheme="minorHAnsi"/>
                <w:sz w:val="20"/>
              </w:rPr>
              <w:t>.</w:t>
            </w:r>
          </w:p>
          <w:p w14:paraId="72B8150B" w14:textId="77777777" w:rsidR="003168D4" w:rsidRDefault="00F444BC" w:rsidP="005E4680">
            <w:pPr>
              <w:pStyle w:val="TableRowCentered"/>
              <w:ind w:left="0"/>
              <w:jc w:val="left"/>
              <w:rPr>
                <w:rFonts w:asciiTheme="minorHAnsi" w:hAnsiTheme="minorHAnsi" w:cstheme="minorHAnsi"/>
                <w:sz w:val="20"/>
              </w:rPr>
            </w:pPr>
            <w:r>
              <w:rPr>
                <w:rFonts w:asciiTheme="minorHAnsi" w:hAnsiTheme="minorHAnsi" w:cstheme="minorHAnsi"/>
                <w:sz w:val="20"/>
              </w:rPr>
              <w:t>Disadvantaged students attend less well than others, in 2021-22 their average attendance was 85.1</w:t>
            </w:r>
            <w:r w:rsidR="003168D4">
              <w:rPr>
                <w:rFonts w:asciiTheme="minorHAnsi" w:hAnsiTheme="minorHAnsi" w:cstheme="minorHAnsi"/>
                <w:sz w:val="20"/>
              </w:rPr>
              <w:t xml:space="preserve">%, this creates gaps in their knowledge. </w:t>
            </w:r>
          </w:p>
          <w:p w14:paraId="2A7D54F4" w14:textId="0A64D49C" w:rsidR="00F444BC" w:rsidRPr="009851BF" w:rsidRDefault="003168D4" w:rsidP="005E4680">
            <w:pPr>
              <w:pStyle w:val="TableRowCentered"/>
              <w:ind w:left="0"/>
              <w:jc w:val="left"/>
              <w:rPr>
                <w:rFonts w:asciiTheme="minorHAnsi" w:hAnsiTheme="minorHAnsi" w:cstheme="minorHAnsi"/>
                <w:sz w:val="20"/>
              </w:rPr>
            </w:pPr>
            <w:r>
              <w:rPr>
                <w:rFonts w:asciiTheme="minorHAnsi" w:hAnsiTheme="minorHAnsi" w:cstheme="minorHAnsi"/>
                <w:sz w:val="20"/>
              </w:rPr>
              <w:t>Disadvantaged students achieved less well than students not eligible for pupil premium at Dixons Brooklands Academy. Average attainment 8 for disadvantaged students in 2021-22 was 41.91 compared to 49.48 for non disadvantaged students. Similar gaps were seen in measures such as basics 5+ (31% vs 42%) and progress 8 (-0.74 vs -0.16)</w:t>
            </w:r>
          </w:p>
        </w:tc>
      </w:tr>
      <w:tr w:rsidR="00E66558" w:rsidRPr="009851BF" w14:paraId="2A7D54F8" w14:textId="77777777" w:rsidTr="0071103A">
        <w:tc>
          <w:tcPr>
            <w:tcW w:w="1477" w:type="dxa"/>
            <w:shd w:val="clear" w:color="auto" w:fill="auto"/>
            <w:tcMar>
              <w:top w:w="0" w:type="dxa"/>
              <w:left w:w="108" w:type="dxa"/>
              <w:bottom w:w="0" w:type="dxa"/>
              <w:right w:w="108" w:type="dxa"/>
            </w:tcMar>
          </w:tcPr>
          <w:p w14:paraId="2A7D54F6"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3</w:t>
            </w:r>
          </w:p>
        </w:tc>
        <w:tc>
          <w:tcPr>
            <w:tcW w:w="8009" w:type="dxa"/>
            <w:shd w:val="clear" w:color="auto" w:fill="auto"/>
            <w:tcMar>
              <w:top w:w="0" w:type="dxa"/>
              <w:left w:w="108" w:type="dxa"/>
              <w:bottom w:w="0" w:type="dxa"/>
              <w:right w:w="108" w:type="dxa"/>
            </w:tcMar>
          </w:tcPr>
          <w:p w14:paraId="19C864FA" w14:textId="77777777" w:rsidR="00E66558" w:rsidRDefault="005E4680" w:rsidP="005E4680">
            <w:pPr>
              <w:pStyle w:val="TableRowCentered"/>
              <w:ind w:left="0"/>
              <w:jc w:val="left"/>
              <w:rPr>
                <w:rFonts w:asciiTheme="minorHAnsi" w:hAnsiTheme="minorHAnsi" w:cstheme="minorHAnsi"/>
                <w:sz w:val="20"/>
              </w:rPr>
            </w:pPr>
            <w:r w:rsidRPr="009851BF">
              <w:rPr>
                <w:rFonts w:asciiTheme="minorHAnsi" w:hAnsiTheme="minorHAnsi" w:cstheme="minorHAnsi"/>
                <w:sz w:val="20"/>
              </w:rPr>
              <w:t>Attendance to school and persistent absence.</w:t>
            </w:r>
          </w:p>
          <w:p w14:paraId="2A7D54F7" w14:textId="57838BD1" w:rsidR="003168D4" w:rsidRPr="009851BF" w:rsidRDefault="003168D4" w:rsidP="005E4680">
            <w:pPr>
              <w:pStyle w:val="TableRowCentered"/>
              <w:ind w:left="0"/>
              <w:jc w:val="left"/>
              <w:rPr>
                <w:rFonts w:asciiTheme="minorHAnsi" w:hAnsiTheme="minorHAnsi" w:cstheme="minorHAnsi"/>
                <w:sz w:val="20"/>
              </w:rPr>
            </w:pPr>
            <w:r>
              <w:rPr>
                <w:rFonts w:asciiTheme="minorHAnsi" w:hAnsiTheme="minorHAnsi" w:cstheme="minorHAnsi"/>
                <w:sz w:val="20"/>
              </w:rPr>
              <w:t>Attendance of disadvantaged students is lower across all year groups tha</w:t>
            </w:r>
            <w:r w:rsidR="00737F52">
              <w:rPr>
                <w:rFonts w:asciiTheme="minorHAnsi" w:hAnsiTheme="minorHAnsi" w:cstheme="minorHAnsi"/>
                <w:sz w:val="20"/>
              </w:rPr>
              <w:t>n</w:t>
            </w:r>
            <w:r>
              <w:rPr>
                <w:rFonts w:asciiTheme="minorHAnsi" w:hAnsiTheme="minorHAnsi" w:cstheme="minorHAnsi"/>
                <w:sz w:val="20"/>
              </w:rPr>
              <w:t xml:space="preserve"> for</w:t>
            </w:r>
            <w:r w:rsidR="00737F52">
              <w:rPr>
                <w:rFonts w:asciiTheme="minorHAnsi" w:hAnsiTheme="minorHAnsi" w:cstheme="minorHAnsi"/>
                <w:sz w:val="20"/>
              </w:rPr>
              <w:t xml:space="preserve"> students who are not eligible for pupil</w:t>
            </w:r>
            <w:r>
              <w:rPr>
                <w:rFonts w:asciiTheme="minorHAnsi" w:hAnsiTheme="minorHAnsi" w:cstheme="minorHAnsi"/>
                <w:sz w:val="20"/>
              </w:rPr>
              <w:t xml:space="preserve"> premium.</w:t>
            </w:r>
            <w:r w:rsidR="00737F52">
              <w:rPr>
                <w:rFonts w:asciiTheme="minorHAnsi" w:hAnsiTheme="minorHAnsi" w:cstheme="minorHAnsi"/>
                <w:sz w:val="20"/>
              </w:rPr>
              <w:t xml:space="preserve"> Rates of persistent absence are higher on average for students eligible for pupil premium.</w:t>
            </w:r>
          </w:p>
        </w:tc>
      </w:tr>
      <w:tr w:rsidR="00E66558" w:rsidRPr="009851BF" w14:paraId="2A7D54FB" w14:textId="77777777" w:rsidTr="0071103A">
        <w:tc>
          <w:tcPr>
            <w:tcW w:w="1477" w:type="dxa"/>
            <w:shd w:val="clear" w:color="auto" w:fill="auto"/>
            <w:tcMar>
              <w:top w:w="0" w:type="dxa"/>
              <w:left w:w="108" w:type="dxa"/>
              <w:bottom w:w="0" w:type="dxa"/>
              <w:right w:w="108" w:type="dxa"/>
            </w:tcMar>
          </w:tcPr>
          <w:p w14:paraId="2A7D54F9" w14:textId="77777777" w:rsidR="00E66558" w:rsidRPr="009851BF" w:rsidRDefault="009D71E8">
            <w:pPr>
              <w:pStyle w:val="TableRow"/>
              <w:rPr>
                <w:rFonts w:asciiTheme="minorHAnsi" w:hAnsiTheme="minorHAnsi" w:cstheme="minorHAnsi"/>
                <w:sz w:val="20"/>
                <w:szCs w:val="20"/>
              </w:rPr>
            </w:pPr>
            <w:r w:rsidRPr="009851BF">
              <w:rPr>
                <w:rFonts w:asciiTheme="minorHAnsi" w:hAnsiTheme="minorHAnsi" w:cstheme="minorHAnsi"/>
                <w:sz w:val="20"/>
                <w:szCs w:val="20"/>
              </w:rPr>
              <w:t>4</w:t>
            </w:r>
          </w:p>
        </w:tc>
        <w:tc>
          <w:tcPr>
            <w:tcW w:w="8009" w:type="dxa"/>
            <w:shd w:val="clear" w:color="auto" w:fill="auto"/>
            <w:tcMar>
              <w:top w:w="0" w:type="dxa"/>
              <w:left w:w="108" w:type="dxa"/>
              <w:bottom w:w="0" w:type="dxa"/>
              <w:right w:w="108" w:type="dxa"/>
            </w:tcMar>
          </w:tcPr>
          <w:p w14:paraId="13172084" w14:textId="65823395" w:rsidR="00E66558" w:rsidRDefault="00D140D9">
            <w:pPr>
              <w:pStyle w:val="TableRowCentered"/>
              <w:jc w:val="left"/>
              <w:rPr>
                <w:rFonts w:asciiTheme="minorHAnsi" w:hAnsiTheme="minorHAnsi" w:cstheme="minorHAnsi"/>
                <w:iCs/>
                <w:sz w:val="20"/>
              </w:rPr>
            </w:pPr>
            <w:r w:rsidRPr="009851BF">
              <w:rPr>
                <w:rFonts w:asciiTheme="minorHAnsi" w:hAnsiTheme="minorHAnsi" w:cstheme="minorHAnsi"/>
                <w:iCs/>
                <w:sz w:val="20"/>
              </w:rPr>
              <w:t xml:space="preserve">Students who are both disadvantaged and have special educational needs or disabilities </w:t>
            </w:r>
            <w:r w:rsidR="00737F52">
              <w:rPr>
                <w:rFonts w:asciiTheme="minorHAnsi" w:hAnsiTheme="minorHAnsi" w:cstheme="minorHAnsi"/>
                <w:iCs/>
                <w:sz w:val="20"/>
              </w:rPr>
              <w:t>attain less well</w:t>
            </w:r>
            <w:r w:rsidRPr="009851BF">
              <w:rPr>
                <w:rFonts w:asciiTheme="minorHAnsi" w:hAnsiTheme="minorHAnsi" w:cstheme="minorHAnsi"/>
                <w:iCs/>
                <w:sz w:val="20"/>
              </w:rPr>
              <w:t xml:space="preserve"> than others.</w:t>
            </w:r>
          </w:p>
          <w:p w14:paraId="2A7D54FA" w14:textId="613A1593" w:rsidR="00737F52" w:rsidRPr="009851BF" w:rsidRDefault="00737F52">
            <w:pPr>
              <w:pStyle w:val="TableRowCentered"/>
              <w:jc w:val="left"/>
              <w:rPr>
                <w:rFonts w:asciiTheme="minorHAnsi" w:hAnsiTheme="minorHAnsi" w:cstheme="minorHAnsi"/>
                <w:iCs/>
                <w:sz w:val="20"/>
              </w:rPr>
            </w:pPr>
            <w:r>
              <w:rPr>
                <w:rFonts w:asciiTheme="minorHAnsi" w:hAnsiTheme="minorHAnsi" w:cstheme="minorHAnsi"/>
                <w:iCs/>
                <w:sz w:val="20"/>
              </w:rPr>
              <w:t xml:space="preserve">In 2021-22 students who are disadvantaged and had SEND were half as likely to achieve the basics at 5+ than a student who was disadvantaged and did not have SEND (14% vs 31%). Although the progress 8 measure for this group was +0.02, the low attainment 8 figure limits student’s future choices (A8 36.66). Internal attainment data shows students who are disadvantaged and have SEND are achieving less well than others. </w:t>
            </w:r>
          </w:p>
        </w:tc>
      </w:tr>
      <w:tr w:rsidR="00E66558" w:rsidRPr="009851BF" w14:paraId="2A7D54FE" w14:textId="77777777" w:rsidTr="0071103A">
        <w:tc>
          <w:tcPr>
            <w:tcW w:w="1477" w:type="dxa"/>
            <w:shd w:val="clear" w:color="auto" w:fill="auto"/>
            <w:tcMar>
              <w:top w:w="0" w:type="dxa"/>
              <w:left w:w="108" w:type="dxa"/>
              <w:bottom w:w="0" w:type="dxa"/>
              <w:right w:w="108" w:type="dxa"/>
            </w:tcMar>
          </w:tcPr>
          <w:p w14:paraId="2A7D54FC" w14:textId="77777777" w:rsidR="00E66558" w:rsidRPr="009851BF" w:rsidRDefault="009D71E8">
            <w:pPr>
              <w:pStyle w:val="TableRow"/>
              <w:rPr>
                <w:rFonts w:asciiTheme="minorHAnsi" w:hAnsiTheme="minorHAnsi" w:cstheme="minorHAnsi"/>
                <w:sz w:val="20"/>
                <w:szCs w:val="20"/>
              </w:rPr>
            </w:pPr>
            <w:bookmarkStart w:id="16" w:name="_Toc443397160"/>
            <w:r w:rsidRPr="009851BF">
              <w:rPr>
                <w:rFonts w:asciiTheme="minorHAnsi" w:hAnsiTheme="minorHAnsi" w:cstheme="minorHAnsi"/>
                <w:sz w:val="20"/>
                <w:szCs w:val="20"/>
              </w:rPr>
              <w:t>5</w:t>
            </w:r>
          </w:p>
        </w:tc>
        <w:tc>
          <w:tcPr>
            <w:tcW w:w="8009" w:type="dxa"/>
            <w:shd w:val="clear" w:color="auto" w:fill="auto"/>
            <w:tcMar>
              <w:top w:w="0" w:type="dxa"/>
              <w:left w:w="108" w:type="dxa"/>
              <w:bottom w:w="0" w:type="dxa"/>
              <w:right w:w="108" w:type="dxa"/>
            </w:tcMar>
          </w:tcPr>
          <w:p w14:paraId="0C25BDF1" w14:textId="76DD62E8" w:rsidR="00E66558" w:rsidRDefault="00D140D9">
            <w:pPr>
              <w:pStyle w:val="TableRowCentered"/>
              <w:jc w:val="left"/>
              <w:rPr>
                <w:rFonts w:asciiTheme="minorHAnsi" w:hAnsiTheme="minorHAnsi" w:cstheme="minorHAnsi"/>
                <w:iCs/>
                <w:sz w:val="20"/>
              </w:rPr>
            </w:pPr>
            <w:r w:rsidRPr="009851BF">
              <w:rPr>
                <w:rFonts w:asciiTheme="minorHAnsi" w:hAnsiTheme="minorHAnsi" w:cstheme="minorHAnsi"/>
                <w:iCs/>
                <w:sz w:val="20"/>
              </w:rPr>
              <w:t xml:space="preserve">Higher rates of fixed term </w:t>
            </w:r>
            <w:r w:rsidR="00737F52">
              <w:rPr>
                <w:rFonts w:asciiTheme="minorHAnsi" w:hAnsiTheme="minorHAnsi" w:cstheme="minorHAnsi"/>
                <w:iCs/>
                <w:sz w:val="20"/>
              </w:rPr>
              <w:t>suspensions comp</w:t>
            </w:r>
            <w:r w:rsidRPr="009851BF">
              <w:rPr>
                <w:rFonts w:asciiTheme="minorHAnsi" w:hAnsiTheme="minorHAnsi" w:cstheme="minorHAnsi"/>
                <w:iCs/>
                <w:sz w:val="20"/>
              </w:rPr>
              <w:t>ared to others.</w:t>
            </w:r>
          </w:p>
          <w:p w14:paraId="2A7D54FD" w14:textId="566C61F8" w:rsidR="00737F52" w:rsidRPr="009851BF" w:rsidRDefault="00737F52">
            <w:pPr>
              <w:pStyle w:val="TableRowCentered"/>
              <w:jc w:val="left"/>
              <w:rPr>
                <w:rFonts w:asciiTheme="minorHAnsi" w:hAnsiTheme="minorHAnsi" w:cstheme="minorHAnsi"/>
                <w:iCs/>
                <w:sz w:val="20"/>
              </w:rPr>
            </w:pPr>
            <w:r>
              <w:rPr>
                <w:rFonts w:asciiTheme="minorHAnsi" w:hAnsiTheme="minorHAnsi" w:cstheme="minorHAnsi"/>
                <w:iCs/>
                <w:sz w:val="20"/>
              </w:rPr>
              <w:t xml:space="preserve">Students who are eligible for pupil premium have higher rates of fixed term suspensions than others. </w:t>
            </w:r>
          </w:p>
        </w:tc>
      </w:tr>
      <w:tr w:rsidR="00177F2C" w:rsidRPr="009851BF" w14:paraId="7A0A02D1" w14:textId="77777777" w:rsidTr="0071103A">
        <w:tc>
          <w:tcPr>
            <w:tcW w:w="1477" w:type="dxa"/>
            <w:shd w:val="clear" w:color="auto" w:fill="auto"/>
            <w:tcMar>
              <w:top w:w="0" w:type="dxa"/>
              <w:left w:w="108" w:type="dxa"/>
              <w:bottom w:w="0" w:type="dxa"/>
              <w:right w:w="108" w:type="dxa"/>
            </w:tcMar>
          </w:tcPr>
          <w:p w14:paraId="7F937793" w14:textId="6D1B09F4" w:rsidR="00177F2C" w:rsidRPr="009851BF" w:rsidRDefault="00177F2C">
            <w:pPr>
              <w:pStyle w:val="TableRow"/>
              <w:rPr>
                <w:rFonts w:asciiTheme="minorHAnsi" w:hAnsiTheme="minorHAnsi" w:cstheme="minorHAnsi"/>
                <w:sz w:val="20"/>
                <w:szCs w:val="20"/>
              </w:rPr>
            </w:pPr>
            <w:r>
              <w:rPr>
                <w:rFonts w:asciiTheme="minorHAnsi" w:hAnsiTheme="minorHAnsi" w:cstheme="minorHAnsi"/>
                <w:sz w:val="20"/>
                <w:szCs w:val="20"/>
              </w:rPr>
              <w:t>6</w:t>
            </w:r>
          </w:p>
        </w:tc>
        <w:tc>
          <w:tcPr>
            <w:tcW w:w="8009" w:type="dxa"/>
            <w:shd w:val="clear" w:color="auto" w:fill="auto"/>
            <w:tcMar>
              <w:top w:w="0" w:type="dxa"/>
              <w:left w:w="108" w:type="dxa"/>
              <w:bottom w:w="0" w:type="dxa"/>
              <w:right w:w="108" w:type="dxa"/>
            </w:tcMar>
          </w:tcPr>
          <w:p w14:paraId="575F31E5" w14:textId="797E249D" w:rsidR="00177F2C" w:rsidRPr="009851BF" w:rsidRDefault="00177F2C">
            <w:pPr>
              <w:pStyle w:val="TableRowCentered"/>
              <w:jc w:val="left"/>
              <w:rPr>
                <w:rFonts w:asciiTheme="minorHAnsi" w:hAnsiTheme="minorHAnsi" w:cstheme="minorHAnsi"/>
                <w:iCs/>
                <w:sz w:val="20"/>
              </w:rPr>
            </w:pPr>
            <w:r>
              <w:rPr>
                <w:rFonts w:asciiTheme="minorHAnsi" w:hAnsiTheme="minorHAnsi" w:cstheme="minorHAnsi"/>
                <w:iCs/>
                <w:sz w:val="20"/>
              </w:rPr>
              <w:t xml:space="preserve">Careers/NEETs – Data from </w:t>
            </w:r>
            <w:r w:rsidR="001C6FF8">
              <w:rPr>
                <w:rFonts w:asciiTheme="minorHAnsi" w:hAnsiTheme="minorHAnsi" w:cstheme="minorHAnsi"/>
                <w:iCs/>
                <w:sz w:val="20"/>
              </w:rPr>
              <w:t xml:space="preserve">leavers 2020 showed that students eligible for the pupil premium were more likely to become NEET, with the figure for 2020 well above the national average figure. </w:t>
            </w:r>
          </w:p>
        </w:tc>
      </w:tr>
    </w:tbl>
    <w:p w14:paraId="2A7D54FF" w14:textId="77777777" w:rsidR="00E66558" w:rsidRPr="009851BF" w:rsidRDefault="009D71E8">
      <w:pPr>
        <w:pStyle w:val="Heading2"/>
        <w:spacing w:before="600"/>
        <w:rPr>
          <w:rFonts w:asciiTheme="minorHAnsi" w:hAnsiTheme="minorHAnsi" w:cstheme="minorHAnsi"/>
          <w:sz w:val="24"/>
          <w:szCs w:val="24"/>
        </w:rPr>
      </w:pPr>
      <w:r w:rsidRPr="009851BF">
        <w:rPr>
          <w:rFonts w:asciiTheme="minorHAnsi" w:hAnsiTheme="minorHAnsi" w:cstheme="minorHAnsi"/>
          <w:sz w:val="24"/>
          <w:szCs w:val="24"/>
        </w:rPr>
        <w:t xml:space="preserve">Intended outcomes </w:t>
      </w:r>
    </w:p>
    <w:p w14:paraId="2A7D5500" w14:textId="77777777" w:rsidR="00E66558" w:rsidRPr="009851BF" w:rsidRDefault="009D71E8">
      <w:pPr>
        <w:rPr>
          <w:rFonts w:asciiTheme="minorHAnsi" w:hAnsiTheme="minorHAnsi" w:cstheme="minorHAnsi"/>
        </w:rPr>
      </w:pPr>
      <w:r w:rsidRPr="009851BF">
        <w:rPr>
          <w:rFonts w:asciiTheme="minorHAnsi" w:hAnsiTheme="minorHAnsi" w:cstheme="minorHAnsi"/>
          <w:color w:val="auto"/>
        </w:rPr>
        <w:t xml:space="preserve">This explains the outcomes we are aiming for </w:t>
      </w:r>
      <w:r w:rsidRPr="009851BF">
        <w:rPr>
          <w:rFonts w:asciiTheme="minorHAnsi" w:hAnsiTheme="minorHAnsi" w:cstheme="minorHAnsi"/>
          <w:b/>
          <w:bCs/>
          <w:color w:val="auto"/>
        </w:rPr>
        <w:t>by the end of our current strategy plan</w:t>
      </w:r>
      <w:r w:rsidRPr="009851BF">
        <w:rPr>
          <w:rFonts w:asciiTheme="minorHAnsi" w:hAnsiTheme="minorHAnsi" w:cstheme="minorHAnsi"/>
          <w:color w:val="auto"/>
        </w:rPr>
        <w:t>, and how we will measure whether they have been achieved.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15"/>
        <w:gridCol w:w="4671"/>
      </w:tblGrid>
      <w:tr w:rsidR="00E66558" w:rsidRPr="009851BF" w14:paraId="2A7D5503" w14:textId="77777777" w:rsidTr="002E43A9">
        <w:tc>
          <w:tcPr>
            <w:tcW w:w="4815" w:type="dxa"/>
            <w:shd w:val="clear" w:color="auto" w:fill="D8E2E9"/>
            <w:tcMar>
              <w:top w:w="0" w:type="dxa"/>
              <w:left w:w="108" w:type="dxa"/>
              <w:bottom w:w="0" w:type="dxa"/>
              <w:right w:w="108" w:type="dxa"/>
            </w:tcMar>
          </w:tcPr>
          <w:p w14:paraId="2A7D5501" w14:textId="77777777" w:rsidR="00E66558" w:rsidRPr="009851BF" w:rsidRDefault="009D71E8">
            <w:pPr>
              <w:pStyle w:val="TableHeader"/>
              <w:jc w:val="left"/>
              <w:rPr>
                <w:rFonts w:asciiTheme="minorHAnsi" w:hAnsiTheme="minorHAnsi" w:cstheme="minorHAnsi"/>
                <w:sz w:val="20"/>
                <w:szCs w:val="20"/>
              </w:rPr>
            </w:pPr>
            <w:r w:rsidRPr="009851BF">
              <w:rPr>
                <w:rFonts w:asciiTheme="minorHAnsi" w:hAnsiTheme="minorHAnsi" w:cstheme="minorHAnsi"/>
                <w:sz w:val="20"/>
                <w:szCs w:val="20"/>
              </w:rPr>
              <w:t>Intended outcome</w:t>
            </w:r>
          </w:p>
        </w:tc>
        <w:tc>
          <w:tcPr>
            <w:tcW w:w="4671" w:type="dxa"/>
            <w:shd w:val="clear" w:color="auto" w:fill="D8E2E9"/>
            <w:tcMar>
              <w:top w:w="0" w:type="dxa"/>
              <w:left w:w="108" w:type="dxa"/>
              <w:bottom w:w="0" w:type="dxa"/>
              <w:right w:w="108" w:type="dxa"/>
            </w:tcMar>
          </w:tcPr>
          <w:p w14:paraId="2A7D5502" w14:textId="77777777" w:rsidR="00E66558" w:rsidRPr="009851BF" w:rsidRDefault="009D71E8">
            <w:pPr>
              <w:pStyle w:val="TableHeader"/>
              <w:jc w:val="left"/>
              <w:rPr>
                <w:rFonts w:asciiTheme="minorHAnsi" w:hAnsiTheme="minorHAnsi" w:cstheme="minorHAnsi"/>
                <w:sz w:val="20"/>
                <w:szCs w:val="20"/>
              </w:rPr>
            </w:pPr>
            <w:r w:rsidRPr="009851BF">
              <w:rPr>
                <w:rFonts w:asciiTheme="minorHAnsi" w:hAnsiTheme="minorHAnsi" w:cstheme="minorHAnsi"/>
                <w:sz w:val="20"/>
                <w:szCs w:val="20"/>
              </w:rPr>
              <w:t>Success criteria</w:t>
            </w:r>
          </w:p>
        </w:tc>
      </w:tr>
      <w:tr w:rsidR="00E66558" w:rsidRPr="009851BF" w14:paraId="2A7D5506" w14:textId="77777777" w:rsidTr="002E43A9">
        <w:tc>
          <w:tcPr>
            <w:tcW w:w="4815" w:type="dxa"/>
            <w:shd w:val="clear" w:color="auto" w:fill="auto"/>
            <w:tcMar>
              <w:top w:w="0" w:type="dxa"/>
              <w:left w:w="108" w:type="dxa"/>
              <w:bottom w:w="0" w:type="dxa"/>
              <w:right w:w="108" w:type="dxa"/>
            </w:tcMar>
          </w:tcPr>
          <w:p w14:paraId="2A7D5504" w14:textId="0109A3AC" w:rsidR="00E66558" w:rsidRPr="009851BF" w:rsidRDefault="002E43A9" w:rsidP="002E43A9">
            <w:pPr>
              <w:pStyle w:val="TableRow"/>
              <w:ind w:left="0"/>
              <w:rPr>
                <w:rFonts w:asciiTheme="minorHAnsi" w:hAnsiTheme="minorHAnsi" w:cstheme="minorHAnsi"/>
                <w:sz w:val="20"/>
                <w:szCs w:val="20"/>
              </w:rPr>
            </w:pPr>
            <w:r w:rsidRPr="009851BF">
              <w:rPr>
                <w:rFonts w:asciiTheme="minorHAnsi" w:hAnsiTheme="minorHAnsi" w:cstheme="minorHAnsi"/>
                <w:sz w:val="20"/>
                <w:szCs w:val="20"/>
              </w:rPr>
              <w:t>Students with reading ages below age related expectation will show rapid and sustained progress in reading at age expected level.</w:t>
            </w:r>
          </w:p>
        </w:tc>
        <w:tc>
          <w:tcPr>
            <w:tcW w:w="4671" w:type="dxa"/>
            <w:shd w:val="clear" w:color="auto" w:fill="auto"/>
            <w:tcMar>
              <w:top w:w="0" w:type="dxa"/>
              <w:left w:w="108" w:type="dxa"/>
              <w:bottom w:w="0" w:type="dxa"/>
              <w:right w:w="108" w:type="dxa"/>
            </w:tcMar>
          </w:tcPr>
          <w:p w14:paraId="5C2BEB0F" w14:textId="2CBE56AE" w:rsidR="00E66558" w:rsidRPr="009851BF" w:rsidRDefault="002E43A9">
            <w:pPr>
              <w:pStyle w:val="TableRowCentered"/>
              <w:jc w:val="left"/>
              <w:rPr>
                <w:rFonts w:asciiTheme="minorHAnsi" w:hAnsiTheme="minorHAnsi" w:cstheme="minorHAnsi"/>
                <w:sz w:val="20"/>
              </w:rPr>
            </w:pPr>
            <w:r w:rsidRPr="009851BF">
              <w:rPr>
                <w:rFonts w:asciiTheme="minorHAnsi" w:hAnsiTheme="minorHAnsi" w:cstheme="minorHAnsi"/>
                <w:sz w:val="20"/>
              </w:rPr>
              <w:t xml:space="preserve">Disadvantaged students average reading age </w:t>
            </w:r>
            <w:r w:rsidR="00D140D9" w:rsidRPr="009851BF">
              <w:rPr>
                <w:rFonts w:asciiTheme="minorHAnsi" w:hAnsiTheme="minorHAnsi" w:cstheme="minorHAnsi"/>
                <w:sz w:val="20"/>
              </w:rPr>
              <w:t>will be at or above age related expectation.</w:t>
            </w:r>
          </w:p>
          <w:p w14:paraId="1F28A256" w14:textId="77777777" w:rsidR="002E43A9" w:rsidRPr="009851BF" w:rsidRDefault="002E43A9">
            <w:pPr>
              <w:pStyle w:val="TableRowCentered"/>
              <w:jc w:val="left"/>
              <w:rPr>
                <w:rFonts w:asciiTheme="minorHAnsi" w:hAnsiTheme="minorHAnsi" w:cstheme="minorHAnsi"/>
                <w:sz w:val="20"/>
              </w:rPr>
            </w:pPr>
          </w:p>
          <w:p w14:paraId="2A7D5505" w14:textId="3A97CCE6" w:rsidR="002E43A9" w:rsidRPr="009851BF" w:rsidRDefault="002E43A9" w:rsidP="002E43A9">
            <w:pPr>
              <w:pStyle w:val="TableRowCentered"/>
              <w:jc w:val="left"/>
              <w:rPr>
                <w:rFonts w:asciiTheme="minorHAnsi" w:hAnsiTheme="minorHAnsi" w:cstheme="minorHAnsi"/>
                <w:sz w:val="20"/>
              </w:rPr>
            </w:pPr>
            <w:r w:rsidRPr="009851BF">
              <w:rPr>
                <w:rFonts w:asciiTheme="minorHAnsi" w:hAnsiTheme="minorHAnsi" w:cstheme="minorHAnsi"/>
                <w:sz w:val="20"/>
              </w:rPr>
              <w:t>Students accessing reading intervention to show an acceleration of reading age.</w:t>
            </w:r>
          </w:p>
        </w:tc>
      </w:tr>
      <w:tr w:rsidR="002E43A9" w:rsidRPr="009851BF" w14:paraId="2A7D550C" w14:textId="77777777" w:rsidTr="00425F67">
        <w:tc>
          <w:tcPr>
            <w:tcW w:w="4815" w:type="dxa"/>
            <w:tcMar>
              <w:top w:w="0" w:type="dxa"/>
              <w:left w:w="108" w:type="dxa"/>
              <w:bottom w:w="0" w:type="dxa"/>
              <w:right w:w="108" w:type="dxa"/>
            </w:tcMar>
          </w:tcPr>
          <w:p w14:paraId="2A7D550A" w14:textId="4458E728" w:rsidR="002E43A9" w:rsidRPr="009851BF" w:rsidRDefault="002E43A9" w:rsidP="002E43A9">
            <w:pPr>
              <w:pStyle w:val="TableRow"/>
              <w:rPr>
                <w:rFonts w:asciiTheme="minorHAnsi" w:hAnsiTheme="minorHAnsi" w:cstheme="minorHAnsi"/>
                <w:sz w:val="20"/>
                <w:szCs w:val="20"/>
              </w:rPr>
            </w:pPr>
            <w:r w:rsidRPr="009851BF">
              <w:rPr>
                <w:rFonts w:asciiTheme="minorHAnsi" w:hAnsiTheme="minorHAnsi" w:cstheme="minorHAnsi"/>
                <w:sz w:val="20"/>
                <w:szCs w:val="20"/>
              </w:rPr>
              <w:t>Progress of students who are both disadvantaged and have SEND will be in line with others in all year groups.</w:t>
            </w:r>
          </w:p>
        </w:tc>
        <w:tc>
          <w:tcPr>
            <w:tcW w:w="4671" w:type="dxa"/>
            <w:shd w:val="clear" w:color="auto" w:fill="auto"/>
            <w:tcMar>
              <w:top w:w="0" w:type="dxa"/>
              <w:left w:w="108" w:type="dxa"/>
              <w:bottom w:w="0" w:type="dxa"/>
              <w:right w:w="108" w:type="dxa"/>
            </w:tcMar>
          </w:tcPr>
          <w:p w14:paraId="22E5C638" w14:textId="2465E489" w:rsidR="002E43A9" w:rsidRPr="009851BF" w:rsidRDefault="00666E08" w:rsidP="002E43A9">
            <w:pPr>
              <w:pStyle w:val="TableRowCentered"/>
              <w:jc w:val="left"/>
              <w:rPr>
                <w:rFonts w:asciiTheme="minorHAnsi" w:hAnsiTheme="minorHAnsi" w:cstheme="minorHAnsi"/>
                <w:sz w:val="20"/>
              </w:rPr>
            </w:pPr>
            <w:r w:rsidRPr="009851BF">
              <w:rPr>
                <w:rFonts w:asciiTheme="minorHAnsi" w:hAnsiTheme="minorHAnsi" w:cstheme="minorHAnsi"/>
                <w:sz w:val="20"/>
              </w:rPr>
              <w:t xml:space="preserve">Summative assessments show no significant differences between </w:t>
            </w:r>
            <w:r w:rsidR="00AF46D9" w:rsidRPr="009851BF">
              <w:rPr>
                <w:rFonts w:asciiTheme="minorHAnsi" w:hAnsiTheme="minorHAnsi" w:cstheme="minorHAnsi"/>
                <w:sz w:val="20"/>
              </w:rPr>
              <w:t>attainment</w:t>
            </w:r>
            <w:r w:rsidRPr="009851BF">
              <w:rPr>
                <w:rFonts w:asciiTheme="minorHAnsi" w:hAnsiTheme="minorHAnsi" w:cstheme="minorHAnsi"/>
                <w:sz w:val="20"/>
              </w:rPr>
              <w:t xml:space="preserve"> of students who are disadvantaged and have SEND and others.</w:t>
            </w:r>
            <w:r w:rsidR="00C13A40" w:rsidRPr="009851BF">
              <w:rPr>
                <w:rFonts w:asciiTheme="minorHAnsi" w:hAnsiTheme="minorHAnsi" w:cstheme="minorHAnsi"/>
                <w:sz w:val="20"/>
              </w:rPr>
              <w:t xml:space="preserve"> Existing gaps are shown to be rapidly closing.</w:t>
            </w:r>
          </w:p>
          <w:p w14:paraId="425A0095" w14:textId="1679193B" w:rsidR="00666E08" w:rsidRPr="009851BF" w:rsidRDefault="00666E08" w:rsidP="002E43A9">
            <w:pPr>
              <w:pStyle w:val="TableRowCentered"/>
              <w:jc w:val="left"/>
              <w:rPr>
                <w:rFonts w:asciiTheme="minorHAnsi" w:hAnsiTheme="minorHAnsi" w:cstheme="minorHAnsi"/>
                <w:sz w:val="20"/>
              </w:rPr>
            </w:pPr>
            <w:r w:rsidRPr="009851BF">
              <w:rPr>
                <w:rFonts w:asciiTheme="minorHAnsi" w:hAnsiTheme="minorHAnsi" w:cstheme="minorHAnsi"/>
                <w:sz w:val="20"/>
              </w:rPr>
              <w:lastRenderedPageBreak/>
              <w:t xml:space="preserve">External examinations show no significant differences between </w:t>
            </w:r>
            <w:r w:rsidR="00AF46D9" w:rsidRPr="009851BF">
              <w:rPr>
                <w:rFonts w:asciiTheme="minorHAnsi" w:hAnsiTheme="minorHAnsi" w:cstheme="minorHAnsi"/>
                <w:sz w:val="20"/>
              </w:rPr>
              <w:t>attainment</w:t>
            </w:r>
            <w:r w:rsidRPr="009851BF">
              <w:rPr>
                <w:rFonts w:asciiTheme="minorHAnsi" w:hAnsiTheme="minorHAnsi" w:cstheme="minorHAnsi"/>
                <w:sz w:val="20"/>
              </w:rPr>
              <w:t xml:space="preserve"> of students who are disadvantaged and have SEND and others</w:t>
            </w:r>
          </w:p>
          <w:p w14:paraId="08F1CB1D" w14:textId="34C0880F" w:rsidR="00666E08" w:rsidRPr="009851BF" w:rsidRDefault="00666E08" w:rsidP="002E43A9">
            <w:pPr>
              <w:pStyle w:val="TableRowCentered"/>
              <w:jc w:val="left"/>
              <w:rPr>
                <w:rFonts w:asciiTheme="minorHAnsi" w:hAnsiTheme="minorHAnsi" w:cstheme="minorHAnsi"/>
                <w:sz w:val="20"/>
              </w:rPr>
            </w:pPr>
            <w:r w:rsidRPr="009851BF">
              <w:rPr>
                <w:rFonts w:asciiTheme="minorHAnsi" w:hAnsiTheme="minorHAnsi" w:cstheme="minorHAnsi"/>
                <w:sz w:val="20"/>
              </w:rPr>
              <w:t>Attendance of students who are disadvantaged students and have SEND is in line with national average for others.</w:t>
            </w:r>
          </w:p>
          <w:p w14:paraId="2A7D550B" w14:textId="3CA5DE9D" w:rsidR="00666E08" w:rsidRPr="009851BF" w:rsidRDefault="00666E08" w:rsidP="002E43A9">
            <w:pPr>
              <w:pStyle w:val="TableRowCentered"/>
              <w:jc w:val="left"/>
              <w:rPr>
                <w:rFonts w:asciiTheme="minorHAnsi" w:hAnsiTheme="minorHAnsi" w:cstheme="minorHAnsi"/>
                <w:sz w:val="20"/>
              </w:rPr>
            </w:pPr>
          </w:p>
        </w:tc>
      </w:tr>
      <w:tr w:rsidR="002E43A9" w:rsidRPr="009851BF" w14:paraId="2A7D550F" w14:textId="77777777" w:rsidTr="002E43A9">
        <w:tc>
          <w:tcPr>
            <w:tcW w:w="4815" w:type="dxa"/>
            <w:shd w:val="clear" w:color="auto" w:fill="auto"/>
            <w:tcMar>
              <w:top w:w="0" w:type="dxa"/>
              <w:left w:w="108" w:type="dxa"/>
              <w:bottom w:w="0" w:type="dxa"/>
              <w:right w:w="108" w:type="dxa"/>
            </w:tcMar>
          </w:tcPr>
          <w:p w14:paraId="2A7D550D" w14:textId="65EC2F35" w:rsidR="002E43A9" w:rsidRPr="009851BF" w:rsidRDefault="002E43A9" w:rsidP="002E43A9">
            <w:pPr>
              <w:pStyle w:val="TableRow"/>
              <w:rPr>
                <w:rFonts w:asciiTheme="minorHAnsi" w:hAnsiTheme="minorHAnsi" w:cstheme="minorHAnsi"/>
                <w:sz w:val="20"/>
                <w:szCs w:val="20"/>
              </w:rPr>
            </w:pPr>
            <w:r w:rsidRPr="009851BF">
              <w:rPr>
                <w:rFonts w:asciiTheme="minorHAnsi" w:hAnsiTheme="minorHAnsi" w:cstheme="minorHAnsi"/>
                <w:sz w:val="20"/>
                <w:szCs w:val="20"/>
              </w:rPr>
              <w:lastRenderedPageBreak/>
              <w:t>Gaps in knowledge to be rapidly closing for all disadvantaged students.</w:t>
            </w:r>
          </w:p>
        </w:tc>
        <w:tc>
          <w:tcPr>
            <w:tcW w:w="4671" w:type="dxa"/>
            <w:shd w:val="clear" w:color="auto" w:fill="auto"/>
            <w:tcMar>
              <w:top w:w="0" w:type="dxa"/>
              <w:left w:w="108" w:type="dxa"/>
              <w:bottom w:w="0" w:type="dxa"/>
              <w:right w:w="108" w:type="dxa"/>
            </w:tcMar>
          </w:tcPr>
          <w:p w14:paraId="11705E10" w14:textId="748B42BD" w:rsidR="002E43A9" w:rsidRPr="009851BF" w:rsidRDefault="00AF46D9" w:rsidP="002E43A9">
            <w:pPr>
              <w:pStyle w:val="TableRowCentered"/>
              <w:jc w:val="left"/>
              <w:rPr>
                <w:rFonts w:asciiTheme="minorHAnsi" w:hAnsiTheme="minorHAnsi" w:cstheme="minorHAnsi"/>
                <w:sz w:val="20"/>
              </w:rPr>
            </w:pPr>
            <w:r w:rsidRPr="009851BF">
              <w:rPr>
                <w:rFonts w:asciiTheme="minorHAnsi" w:hAnsiTheme="minorHAnsi" w:cstheme="minorHAnsi"/>
                <w:sz w:val="20"/>
              </w:rPr>
              <w:t>Attainment</w:t>
            </w:r>
            <w:r w:rsidR="00666E08" w:rsidRPr="009851BF">
              <w:rPr>
                <w:rFonts w:asciiTheme="minorHAnsi" w:hAnsiTheme="minorHAnsi" w:cstheme="minorHAnsi"/>
                <w:sz w:val="20"/>
              </w:rPr>
              <w:t xml:space="preserve"> of disadvantaged students is in line with national averages for others.</w:t>
            </w:r>
          </w:p>
          <w:p w14:paraId="2E9747FF" w14:textId="77777777" w:rsidR="00666E08" w:rsidRPr="009851BF" w:rsidRDefault="00666E08" w:rsidP="002E43A9">
            <w:pPr>
              <w:pStyle w:val="TableRowCentered"/>
              <w:jc w:val="left"/>
              <w:rPr>
                <w:rFonts w:asciiTheme="minorHAnsi" w:hAnsiTheme="minorHAnsi" w:cstheme="minorHAnsi"/>
                <w:sz w:val="20"/>
              </w:rPr>
            </w:pPr>
            <w:r w:rsidRPr="009851BF">
              <w:rPr>
                <w:rFonts w:asciiTheme="minorHAnsi" w:hAnsiTheme="minorHAnsi" w:cstheme="minorHAnsi"/>
                <w:sz w:val="20"/>
              </w:rPr>
              <w:t>Subject trackers show gaps in knowledge reducing at each assessment.</w:t>
            </w:r>
          </w:p>
          <w:p w14:paraId="4E86E75B" w14:textId="77777777" w:rsidR="00666E08" w:rsidRPr="009851BF" w:rsidRDefault="00666E08" w:rsidP="002E43A9">
            <w:pPr>
              <w:pStyle w:val="TableRowCentered"/>
              <w:jc w:val="left"/>
              <w:rPr>
                <w:rFonts w:asciiTheme="minorHAnsi" w:hAnsiTheme="minorHAnsi" w:cstheme="minorHAnsi"/>
                <w:sz w:val="20"/>
              </w:rPr>
            </w:pPr>
            <w:r w:rsidRPr="009851BF">
              <w:rPr>
                <w:rFonts w:asciiTheme="minorHAnsi" w:hAnsiTheme="minorHAnsi" w:cstheme="minorHAnsi"/>
                <w:sz w:val="20"/>
              </w:rPr>
              <w:t>Disadvantaged students receiving tutoring to show rapid closing of gaps in knowledge.</w:t>
            </w:r>
          </w:p>
          <w:p w14:paraId="2A7D550E" w14:textId="3566728E" w:rsidR="00666E08" w:rsidRPr="009851BF" w:rsidRDefault="00666E08" w:rsidP="00255895">
            <w:pPr>
              <w:pStyle w:val="TableRowCentered"/>
              <w:ind w:left="0"/>
              <w:jc w:val="left"/>
              <w:rPr>
                <w:rFonts w:asciiTheme="minorHAnsi" w:hAnsiTheme="minorHAnsi" w:cstheme="minorHAnsi"/>
                <w:sz w:val="20"/>
              </w:rPr>
            </w:pPr>
          </w:p>
        </w:tc>
      </w:tr>
      <w:tr w:rsidR="002E43A9" w:rsidRPr="009851BF" w14:paraId="41F5D21E" w14:textId="77777777" w:rsidTr="002E43A9">
        <w:tc>
          <w:tcPr>
            <w:tcW w:w="4815" w:type="dxa"/>
            <w:shd w:val="clear" w:color="auto" w:fill="auto"/>
            <w:tcMar>
              <w:top w:w="0" w:type="dxa"/>
              <w:left w:w="108" w:type="dxa"/>
              <w:bottom w:w="0" w:type="dxa"/>
              <w:right w:w="108" w:type="dxa"/>
            </w:tcMar>
          </w:tcPr>
          <w:p w14:paraId="5392D7DE" w14:textId="228E73C1" w:rsidR="002E43A9" w:rsidRPr="009851BF" w:rsidRDefault="002E43A9" w:rsidP="002E43A9">
            <w:pPr>
              <w:pStyle w:val="TableRow"/>
              <w:rPr>
                <w:rFonts w:asciiTheme="minorHAnsi" w:hAnsiTheme="minorHAnsi" w:cstheme="minorHAnsi"/>
                <w:sz w:val="20"/>
                <w:szCs w:val="20"/>
              </w:rPr>
            </w:pPr>
            <w:r w:rsidRPr="009851BF">
              <w:rPr>
                <w:rFonts w:asciiTheme="minorHAnsi" w:hAnsiTheme="minorHAnsi" w:cstheme="minorHAnsi"/>
                <w:sz w:val="20"/>
                <w:szCs w:val="20"/>
              </w:rPr>
              <w:t>Fixed term exclusions for disadvantaged students to be at least in line with national others (students who are not disadvantaged students)</w:t>
            </w:r>
          </w:p>
        </w:tc>
        <w:tc>
          <w:tcPr>
            <w:tcW w:w="4671" w:type="dxa"/>
            <w:shd w:val="clear" w:color="auto" w:fill="auto"/>
            <w:tcMar>
              <w:top w:w="0" w:type="dxa"/>
              <w:left w:w="108" w:type="dxa"/>
              <w:bottom w:w="0" w:type="dxa"/>
              <w:right w:w="108" w:type="dxa"/>
            </w:tcMar>
          </w:tcPr>
          <w:p w14:paraId="6DB185F3" w14:textId="4A30BCA9" w:rsidR="002E43A9" w:rsidRPr="009851BF" w:rsidRDefault="00666E08" w:rsidP="002E43A9">
            <w:pPr>
              <w:pStyle w:val="TableRowCentered"/>
              <w:jc w:val="left"/>
              <w:rPr>
                <w:rFonts w:asciiTheme="minorHAnsi" w:hAnsiTheme="minorHAnsi" w:cstheme="minorHAnsi"/>
                <w:sz w:val="20"/>
              </w:rPr>
            </w:pPr>
            <w:r w:rsidRPr="009851BF">
              <w:rPr>
                <w:rFonts w:asciiTheme="minorHAnsi" w:hAnsiTheme="minorHAnsi" w:cstheme="minorHAnsi"/>
                <w:sz w:val="20"/>
              </w:rPr>
              <w:t xml:space="preserve">Fixed term exclusions for disadvantaged students to </w:t>
            </w:r>
            <w:r w:rsidR="00DF47E1" w:rsidRPr="009851BF">
              <w:rPr>
                <w:rFonts w:asciiTheme="minorHAnsi" w:hAnsiTheme="minorHAnsi" w:cstheme="minorHAnsi"/>
                <w:sz w:val="20"/>
              </w:rPr>
              <w:t>reduce by 25% compared to the previous year.</w:t>
            </w:r>
          </w:p>
          <w:p w14:paraId="6E08D4AA" w14:textId="77777777" w:rsidR="00666E08" w:rsidRPr="009851BF" w:rsidRDefault="00666E08" w:rsidP="002E43A9">
            <w:pPr>
              <w:pStyle w:val="TableRowCentered"/>
              <w:jc w:val="left"/>
              <w:rPr>
                <w:rFonts w:asciiTheme="minorHAnsi" w:hAnsiTheme="minorHAnsi" w:cstheme="minorHAnsi"/>
                <w:sz w:val="20"/>
              </w:rPr>
            </w:pPr>
            <w:r w:rsidRPr="009851BF">
              <w:rPr>
                <w:rFonts w:asciiTheme="minorHAnsi" w:hAnsiTheme="minorHAnsi" w:cstheme="minorHAnsi"/>
                <w:sz w:val="20"/>
              </w:rPr>
              <w:t>Pastoral interventions to show high impact at reducing repeat FTEs.</w:t>
            </w:r>
          </w:p>
          <w:p w14:paraId="43703032" w14:textId="145788BF" w:rsidR="00666E08" w:rsidRPr="009851BF" w:rsidRDefault="00666E08" w:rsidP="00255895">
            <w:pPr>
              <w:pStyle w:val="TableRowCentered"/>
              <w:jc w:val="left"/>
              <w:rPr>
                <w:rFonts w:asciiTheme="minorHAnsi" w:hAnsiTheme="minorHAnsi" w:cstheme="minorHAnsi"/>
                <w:sz w:val="20"/>
              </w:rPr>
            </w:pPr>
          </w:p>
        </w:tc>
      </w:tr>
      <w:tr w:rsidR="002E43A9" w:rsidRPr="009851BF" w14:paraId="502C1F9D" w14:textId="77777777" w:rsidTr="002E43A9">
        <w:tc>
          <w:tcPr>
            <w:tcW w:w="4815" w:type="dxa"/>
            <w:shd w:val="clear" w:color="auto" w:fill="auto"/>
            <w:tcMar>
              <w:top w:w="0" w:type="dxa"/>
              <w:left w:w="108" w:type="dxa"/>
              <w:bottom w:w="0" w:type="dxa"/>
              <w:right w:w="108" w:type="dxa"/>
            </w:tcMar>
          </w:tcPr>
          <w:p w14:paraId="1F6A36A1" w14:textId="7FAECCE4" w:rsidR="002E43A9" w:rsidRPr="009851BF" w:rsidRDefault="002E43A9" w:rsidP="002E43A9">
            <w:pPr>
              <w:pStyle w:val="TableRow"/>
              <w:rPr>
                <w:rFonts w:asciiTheme="minorHAnsi" w:hAnsiTheme="minorHAnsi" w:cstheme="minorHAnsi"/>
                <w:sz w:val="20"/>
                <w:szCs w:val="20"/>
              </w:rPr>
            </w:pPr>
            <w:r w:rsidRPr="009851BF">
              <w:rPr>
                <w:rFonts w:asciiTheme="minorHAnsi" w:hAnsiTheme="minorHAnsi" w:cstheme="minorHAnsi"/>
                <w:sz w:val="20"/>
                <w:szCs w:val="20"/>
              </w:rPr>
              <w:t>Attendance and persistent absence for disadvantaged students will be in line with the national average for other students.</w:t>
            </w:r>
          </w:p>
        </w:tc>
        <w:tc>
          <w:tcPr>
            <w:tcW w:w="4671" w:type="dxa"/>
            <w:shd w:val="clear" w:color="auto" w:fill="auto"/>
            <w:tcMar>
              <w:top w:w="0" w:type="dxa"/>
              <w:left w:w="108" w:type="dxa"/>
              <w:bottom w:w="0" w:type="dxa"/>
              <w:right w:w="108" w:type="dxa"/>
            </w:tcMar>
          </w:tcPr>
          <w:p w14:paraId="034F7E51" w14:textId="5C113482" w:rsidR="00666E08" w:rsidRPr="009851BF" w:rsidRDefault="00666E08" w:rsidP="00666E08">
            <w:pPr>
              <w:pStyle w:val="TableRowCentered"/>
              <w:jc w:val="left"/>
              <w:rPr>
                <w:rFonts w:asciiTheme="minorHAnsi" w:hAnsiTheme="minorHAnsi" w:cstheme="minorHAnsi"/>
                <w:sz w:val="20"/>
              </w:rPr>
            </w:pPr>
            <w:r w:rsidRPr="009851BF">
              <w:rPr>
                <w:rFonts w:asciiTheme="minorHAnsi" w:hAnsiTheme="minorHAnsi" w:cstheme="minorHAnsi"/>
                <w:sz w:val="20"/>
              </w:rPr>
              <w:t xml:space="preserve">Attendance for disadvantaged students to </w:t>
            </w:r>
            <w:r w:rsidR="00C10153" w:rsidRPr="009851BF">
              <w:rPr>
                <w:rFonts w:asciiTheme="minorHAnsi" w:hAnsiTheme="minorHAnsi" w:cstheme="minorHAnsi"/>
                <w:sz w:val="20"/>
              </w:rPr>
              <w:t>improve by 4% compared to 2021-22</w:t>
            </w:r>
          </w:p>
          <w:p w14:paraId="48BE861F" w14:textId="05193D04" w:rsidR="002E43A9" w:rsidRPr="009851BF" w:rsidRDefault="00666E08" w:rsidP="00666E08">
            <w:pPr>
              <w:pStyle w:val="TableRowCentered"/>
              <w:jc w:val="left"/>
              <w:rPr>
                <w:rFonts w:asciiTheme="minorHAnsi" w:hAnsiTheme="minorHAnsi" w:cstheme="minorHAnsi"/>
                <w:sz w:val="20"/>
              </w:rPr>
            </w:pPr>
            <w:r w:rsidRPr="009851BF">
              <w:rPr>
                <w:rFonts w:asciiTheme="minorHAnsi" w:hAnsiTheme="minorHAnsi" w:cstheme="minorHAnsi"/>
                <w:sz w:val="20"/>
              </w:rPr>
              <w:t xml:space="preserve">Persistent absence </w:t>
            </w:r>
            <w:r w:rsidR="00255895" w:rsidRPr="009851BF">
              <w:rPr>
                <w:rFonts w:asciiTheme="minorHAnsi" w:hAnsiTheme="minorHAnsi" w:cstheme="minorHAnsi"/>
                <w:sz w:val="20"/>
              </w:rPr>
              <w:t xml:space="preserve">to reduce by </w:t>
            </w:r>
            <w:r w:rsidR="00DF47E1" w:rsidRPr="009851BF">
              <w:rPr>
                <w:rFonts w:asciiTheme="minorHAnsi" w:hAnsiTheme="minorHAnsi" w:cstheme="minorHAnsi"/>
                <w:sz w:val="20"/>
              </w:rPr>
              <w:t>8</w:t>
            </w:r>
            <w:r w:rsidR="00255895" w:rsidRPr="009851BF">
              <w:rPr>
                <w:rFonts w:asciiTheme="minorHAnsi" w:hAnsiTheme="minorHAnsi" w:cstheme="minorHAnsi"/>
                <w:sz w:val="20"/>
              </w:rPr>
              <w:t>% compared to 2021-22</w:t>
            </w:r>
          </w:p>
        </w:tc>
      </w:tr>
      <w:tr w:rsidR="00D02F17" w:rsidRPr="009851BF" w14:paraId="08EB7C06" w14:textId="77777777" w:rsidTr="002E43A9">
        <w:tc>
          <w:tcPr>
            <w:tcW w:w="4815" w:type="dxa"/>
            <w:shd w:val="clear" w:color="auto" w:fill="auto"/>
            <w:tcMar>
              <w:top w:w="0" w:type="dxa"/>
              <w:left w:w="108" w:type="dxa"/>
              <w:bottom w:w="0" w:type="dxa"/>
              <w:right w:w="108" w:type="dxa"/>
            </w:tcMar>
          </w:tcPr>
          <w:p w14:paraId="3E2BC6EE" w14:textId="67322696" w:rsidR="00D02F17" w:rsidRPr="009851BF" w:rsidRDefault="00D02F17" w:rsidP="002E43A9">
            <w:pPr>
              <w:pStyle w:val="TableRow"/>
              <w:rPr>
                <w:rFonts w:asciiTheme="minorHAnsi" w:hAnsiTheme="minorHAnsi" w:cstheme="minorHAnsi"/>
                <w:sz w:val="20"/>
                <w:szCs w:val="20"/>
              </w:rPr>
            </w:pPr>
            <w:r>
              <w:rPr>
                <w:rFonts w:asciiTheme="minorHAnsi" w:hAnsiTheme="minorHAnsi" w:cstheme="minorHAnsi"/>
                <w:sz w:val="20"/>
                <w:szCs w:val="20"/>
              </w:rPr>
              <w:t>No students will become NEET</w:t>
            </w:r>
          </w:p>
        </w:tc>
        <w:tc>
          <w:tcPr>
            <w:tcW w:w="4671" w:type="dxa"/>
            <w:shd w:val="clear" w:color="auto" w:fill="auto"/>
            <w:tcMar>
              <w:top w:w="0" w:type="dxa"/>
              <w:left w:w="108" w:type="dxa"/>
              <w:bottom w:w="0" w:type="dxa"/>
              <w:right w:w="108" w:type="dxa"/>
            </w:tcMar>
          </w:tcPr>
          <w:p w14:paraId="307B6557" w14:textId="591EFDC8" w:rsidR="00D02F17" w:rsidRPr="009851BF" w:rsidRDefault="00D02F17" w:rsidP="00666E08">
            <w:pPr>
              <w:pStyle w:val="TableRowCentered"/>
              <w:jc w:val="left"/>
              <w:rPr>
                <w:rFonts w:asciiTheme="minorHAnsi" w:hAnsiTheme="minorHAnsi" w:cstheme="minorHAnsi"/>
                <w:sz w:val="20"/>
              </w:rPr>
            </w:pPr>
            <w:r>
              <w:rPr>
                <w:rFonts w:asciiTheme="minorHAnsi" w:hAnsiTheme="minorHAnsi" w:cstheme="minorHAnsi"/>
                <w:sz w:val="20"/>
              </w:rPr>
              <w:t>NEET figure for 2022-23 is 0</w:t>
            </w:r>
          </w:p>
        </w:tc>
      </w:tr>
    </w:tbl>
    <w:p w14:paraId="60BAD9F6" w14:textId="77777777" w:rsidR="00120AB1" w:rsidRPr="009851BF" w:rsidRDefault="00120AB1">
      <w:pPr>
        <w:pStyle w:val="Heading2"/>
        <w:rPr>
          <w:rFonts w:asciiTheme="minorHAnsi" w:hAnsiTheme="minorHAnsi" w:cstheme="minorHAnsi"/>
          <w:sz w:val="20"/>
          <w:szCs w:val="20"/>
        </w:rPr>
      </w:pPr>
    </w:p>
    <w:p w14:paraId="2A06959E" w14:textId="77777777" w:rsidR="00120AB1" w:rsidRPr="009851BF" w:rsidRDefault="00120AB1">
      <w:pPr>
        <w:suppressAutoHyphens w:val="0"/>
        <w:spacing w:after="0" w:line="240" w:lineRule="auto"/>
        <w:rPr>
          <w:rFonts w:asciiTheme="minorHAnsi" w:hAnsiTheme="minorHAnsi" w:cstheme="minorHAnsi"/>
          <w:b/>
          <w:color w:val="104F75"/>
          <w:sz w:val="20"/>
          <w:szCs w:val="20"/>
        </w:rPr>
      </w:pPr>
      <w:r w:rsidRPr="009851BF">
        <w:rPr>
          <w:rFonts w:asciiTheme="minorHAnsi" w:hAnsiTheme="minorHAnsi" w:cstheme="minorHAnsi"/>
          <w:sz w:val="20"/>
          <w:szCs w:val="20"/>
        </w:rPr>
        <w:br w:type="page"/>
      </w:r>
    </w:p>
    <w:p w14:paraId="2A7D5512" w14:textId="7B489199" w:rsidR="00E66558" w:rsidRPr="009851BF" w:rsidRDefault="009D71E8">
      <w:pPr>
        <w:pStyle w:val="Heading2"/>
        <w:rPr>
          <w:rFonts w:asciiTheme="minorHAnsi" w:hAnsiTheme="minorHAnsi" w:cstheme="minorHAnsi"/>
          <w:sz w:val="24"/>
          <w:szCs w:val="24"/>
        </w:rPr>
      </w:pPr>
      <w:r w:rsidRPr="009851BF">
        <w:rPr>
          <w:rFonts w:asciiTheme="minorHAnsi" w:hAnsiTheme="minorHAnsi" w:cstheme="minorHAnsi"/>
          <w:sz w:val="24"/>
          <w:szCs w:val="24"/>
        </w:rPr>
        <w:lastRenderedPageBreak/>
        <w:t>Activity in this academic year</w:t>
      </w:r>
    </w:p>
    <w:p w14:paraId="2A7D5513" w14:textId="77777777" w:rsidR="00E66558" w:rsidRPr="009851BF" w:rsidRDefault="009D71E8">
      <w:pPr>
        <w:spacing w:after="480"/>
        <w:rPr>
          <w:rFonts w:asciiTheme="minorHAnsi" w:hAnsiTheme="minorHAnsi" w:cstheme="minorHAnsi"/>
        </w:rPr>
      </w:pPr>
      <w:r w:rsidRPr="009851BF">
        <w:rPr>
          <w:rFonts w:asciiTheme="minorHAnsi" w:hAnsiTheme="minorHAnsi" w:cstheme="minorHAnsi"/>
        </w:rPr>
        <w:t xml:space="preserve">This details how we intend to spend our pupil premium (and recovery premium funding) </w:t>
      </w:r>
      <w:r w:rsidRPr="009851BF">
        <w:rPr>
          <w:rFonts w:asciiTheme="minorHAnsi" w:hAnsiTheme="minorHAnsi" w:cstheme="minorHAnsi"/>
          <w:b/>
          <w:bCs/>
        </w:rPr>
        <w:t>this academic year</w:t>
      </w:r>
      <w:r w:rsidRPr="009851BF">
        <w:rPr>
          <w:rFonts w:asciiTheme="minorHAnsi" w:hAnsiTheme="minorHAnsi" w:cstheme="minorHAnsi"/>
        </w:rPr>
        <w:t xml:space="preserve"> to address the challenges listed above.</w:t>
      </w:r>
    </w:p>
    <w:p w14:paraId="2A7D5514" w14:textId="77777777" w:rsidR="00E66558" w:rsidRPr="009851BF" w:rsidRDefault="009D71E8">
      <w:pPr>
        <w:pStyle w:val="Heading3"/>
        <w:rPr>
          <w:rFonts w:asciiTheme="minorHAnsi" w:hAnsiTheme="minorHAnsi" w:cstheme="minorHAnsi"/>
          <w:sz w:val="24"/>
          <w:szCs w:val="24"/>
        </w:rPr>
      </w:pPr>
      <w:r w:rsidRPr="009851BF">
        <w:rPr>
          <w:rFonts w:asciiTheme="minorHAnsi" w:hAnsiTheme="minorHAnsi" w:cstheme="minorHAnsi"/>
          <w:sz w:val="24"/>
          <w:szCs w:val="24"/>
        </w:rPr>
        <w:t>Teaching (for example, CPD, recruitment and retention)</w:t>
      </w:r>
    </w:p>
    <w:p w14:paraId="2A7D5515" w14:textId="4B26C4AD" w:rsidR="00E66558" w:rsidRPr="009851BF" w:rsidRDefault="009D71E8">
      <w:pPr>
        <w:rPr>
          <w:rFonts w:asciiTheme="minorHAnsi" w:hAnsiTheme="minorHAnsi" w:cstheme="minorHAnsi"/>
        </w:rPr>
      </w:pPr>
      <w:r w:rsidRPr="009851BF">
        <w:rPr>
          <w:rFonts w:asciiTheme="minorHAnsi" w:hAnsiTheme="minorHAnsi" w:cstheme="minorHAnsi"/>
        </w:rPr>
        <w:t xml:space="preserve">Budgeted cost: £ </w:t>
      </w:r>
      <w:r w:rsidR="00C323E7" w:rsidRPr="009851BF">
        <w:rPr>
          <w:rFonts w:asciiTheme="minorHAnsi" w:hAnsiTheme="minorHAnsi" w:cstheme="minorHAnsi"/>
        </w:rPr>
        <w:t>250 000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18"/>
        <w:gridCol w:w="5183"/>
        <w:gridCol w:w="2085"/>
      </w:tblGrid>
      <w:tr w:rsidR="00E66558" w14:paraId="2A7D5519" w14:textId="77777777" w:rsidTr="00765B64">
        <w:tc>
          <w:tcPr>
            <w:tcW w:w="2218" w:type="dxa"/>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183" w:type="dxa"/>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085" w:type="dxa"/>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765B64">
        <w:trPr>
          <w:trHeight w:val="2112"/>
        </w:trPr>
        <w:tc>
          <w:tcPr>
            <w:tcW w:w="2218" w:type="dxa"/>
            <w:shd w:val="clear" w:color="auto" w:fill="auto"/>
            <w:tcMar>
              <w:top w:w="0" w:type="dxa"/>
              <w:left w:w="108" w:type="dxa"/>
              <w:bottom w:w="0" w:type="dxa"/>
              <w:right w:w="108" w:type="dxa"/>
            </w:tcMar>
          </w:tcPr>
          <w:p w14:paraId="532791C8" w14:textId="2282358D" w:rsidR="00E11840" w:rsidRPr="00DF47E1" w:rsidRDefault="00C323E7" w:rsidP="00E11840">
            <w:pPr>
              <w:pStyle w:val="TableRow"/>
              <w:ind w:left="0"/>
              <w:rPr>
                <w:rFonts w:asciiTheme="minorHAnsi" w:hAnsiTheme="minorHAnsi" w:cstheme="minorHAnsi"/>
                <w:iCs/>
                <w:sz w:val="20"/>
                <w:szCs w:val="20"/>
              </w:rPr>
            </w:pPr>
            <w:r w:rsidRPr="00DF47E1">
              <w:rPr>
                <w:rFonts w:asciiTheme="minorHAnsi" w:hAnsiTheme="minorHAnsi" w:cstheme="minorHAnsi"/>
                <w:iCs/>
                <w:sz w:val="20"/>
                <w:szCs w:val="20"/>
              </w:rPr>
              <w:t xml:space="preserve"> Trust assistant principals</w:t>
            </w:r>
            <w:r w:rsidR="00C10153">
              <w:rPr>
                <w:rFonts w:asciiTheme="minorHAnsi" w:hAnsiTheme="minorHAnsi" w:cstheme="minorHAnsi"/>
                <w:iCs/>
                <w:sz w:val="20"/>
                <w:szCs w:val="20"/>
              </w:rPr>
              <w:t xml:space="preserve"> </w:t>
            </w:r>
            <w:r w:rsidRPr="00DF47E1">
              <w:rPr>
                <w:rFonts w:asciiTheme="minorHAnsi" w:hAnsiTheme="minorHAnsi" w:cstheme="minorHAnsi"/>
                <w:iCs/>
                <w:sz w:val="20"/>
                <w:szCs w:val="20"/>
              </w:rPr>
              <w:t>to work on leading curriculum and implementation in the ebacc subjects, using research based approaches.</w:t>
            </w:r>
          </w:p>
          <w:p w14:paraId="2A7D551A" w14:textId="77765614" w:rsidR="008D41B3" w:rsidRPr="00DF47E1" w:rsidRDefault="008D41B3" w:rsidP="00577806">
            <w:pPr>
              <w:pStyle w:val="TableRow"/>
              <w:ind w:left="0"/>
              <w:rPr>
                <w:rFonts w:asciiTheme="minorHAnsi" w:hAnsiTheme="minorHAnsi" w:cstheme="minorHAnsi"/>
                <w:sz w:val="20"/>
                <w:szCs w:val="20"/>
              </w:rPr>
            </w:pPr>
          </w:p>
        </w:tc>
        <w:tc>
          <w:tcPr>
            <w:tcW w:w="5183" w:type="dxa"/>
            <w:shd w:val="clear" w:color="auto" w:fill="auto"/>
            <w:tcMar>
              <w:top w:w="0" w:type="dxa"/>
              <w:left w:w="108" w:type="dxa"/>
              <w:bottom w:w="0" w:type="dxa"/>
              <w:right w:w="108" w:type="dxa"/>
            </w:tcMar>
          </w:tcPr>
          <w:p w14:paraId="3FB6E345" w14:textId="4D16CEDF" w:rsidR="001C4109" w:rsidRPr="00DF47E1" w:rsidRDefault="00970510">
            <w:pPr>
              <w:pStyle w:val="TableRowCentered"/>
              <w:jc w:val="left"/>
              <w:rPr>
                <w:rFonts w:asciiTheme="minorHAnsi" w:hAnsiTheme="minorHAnsi" w:cstheme="minorHAnsi"/>
                <w:sz w:val="20"/>
              </w:rPr>
            </w:pPr>
            <w:hyperlink r:id="rId10" w:history="1">
              <w:r w:rsidR="00C10153" w:rsidRPr="009D61A8">
                <w:rPr>
                  <w:rStyle w:val="Hyperlink"/>
                  <w:rFonts w:asciiTheme="minorHAnsi" w:hAnsiTheme="minorHAnsi" w:cstheme="minorHAnsi"/>
                  <w:sz w:val="20"/>
                </w:rPr>
                <w:t>https://educationendowmentfoundation.org.uk/education-evidence/guidance-reports/implementation</w:t>
              </w:r>
            </w:hyperlink>
            <w:r w:rsidR="00C10153">
              <w:rPr>
                <w:rFonts w:asciiTheme="minorHAnsi" w:hAnsiTheme="minorHAnsi" w:cstheme="minorHAnsi"/>
                <w:sz w:val="20"/>
              </w:rPr>
              <w:t xml:space="preserve"> </w:t>
            </w:r>
          </w:p>
          <w:p w14:paraId="2A7D551B" w14:textId="735E8960" w:rsidR="008D41B3" w:rsidRPr="00DF47E1" w:rsidRDefault="008D41B3" w:rsidP="000F3AB3">
            <w:pPr>
              <w:pStyle w:val="TableRowCentered"/>
              <w:ind w:left="0"/>
              <w:jc w:val="left"/>
              <w:rPr>
                <w:rFonts w:asciiTheme="minorHAnsi" w:hAnsiTheme="minorHAnsi" w:cstheme="minorHAnsi"/>
                <w:sz w:val="20"/>
              </w:rPr>
            </w:pPr>
          </w:p>
        </w:tc>
        <w:tc>
          <w:tcPr>
            <w:tcW w:w="2085" w:type="dxa"/>
            <w:shd w:val="clear" w:color="auto" w:fill="auto"/>
            <w:tcMar>
              <w:top w:w="0" w:type="dxa"/>
              <w:left w:w="108" w:type="dxa"/>
              <w:bottom w:w="0" w:type="dxa"/>
              <w:right w:w="108" w:type="dxa"/>
            </w:tcMar>
          </w:tcPr>
          <w:p w14:paraId="2A7D551C" w14:textId="0D192147" w:rsidR="00E66558" w:rsidRPr="00DF47E1" w:rsidRDefault="00010AC1">
            <w:pPr>
              <w:pStyle w:val="TableRowCentered"/>
              <w:jc w:val="left"/>
              <w:rPr>
                <w:rFonts w:asciiTheme="minorHAnsi" w:hAnsiTheme="minorHAnsi" w:cstheme="minorHAnsi"/>
                <w:sz w:val="20"/>
              </w:rPr>
            </w:pPr>
            <w:r w:rsidRPr="00DF47E1">
              <w:rPr>
                <w:rFonts w:asciiTheme="minorHAnsi" w:hAnsiTheme="minorHAnsi" w:cstheme="minorHAnsi"/>
                <w:sz w:val="20"/>
              </w:rPr>
              <w:t>1, 2, 4, 5</w:t>
            </w:r>
          </w:p>
        </w:tc>
      </w:tr>
      <w:tr w:rsidR="00E66558" w14:paraId="2A7D5521" w14:textId="77777777" w:rsidTr="00765B64">
        <w:tc>
          <w:tcPr>
            <w:tcW w:w="2218" w:type="dxa"/>
            <w:shd w:val="clear" w:color="auto" w:fill="auto"/>
            <w:tcMar>
              <w:top w:w="0" w:type="dxa"/>
              <w:left w:w="108" w:type="dxa"/>
              <w:bottom w:w="0" w:type="dxa"/>
              <w:right w:w="108" w:type="dxa"/>
            </w:tcMar>
          </w:tcPr>
          <w:p w14:paraId="76512B83" w14:textId="351EFBB2" w:rsidR="000F3AB3" w:rsidRPr="00DF47E1" w:rsidRDefault="000F3AB3" w:rsidP="000F3AB3">
            <w:pPr>
              <w:pStyle w:val="TableRow"/>
              <w:rPr>
                <w:rFonts w:asciiTheme="minorHAnsi" w:hAnsiTheme="minorHAnsi" w:cstheme="minorHAnsi"/>
                <w:iCs/>
                <w:sz w:val="20"/>
                <w:szCs w:val="20"/>
              </w:rPr>
            </w:pPr>
            <w:r w:rsidRPr="00DF47E1">
              <w:rPr>
                <w:rFonts w:asciiTheme="minorHAnsi" w:hAnsiTheme="minorHAnsi" w:cstheme="minorHAnsi"/>
                <w:iCs/>
                <w:sz w:val="20"/>
                <w:szCs w:val="20"/>
              </w:rPr>
              <w:t>Literacy and oracy approaches –</w:t>
            </w:r>
            <w:r>
              <w:rPr>
                <w:rFonts w:asciiTheme="minorHAnsi" w:hAnsiTheme="minorHAnsi" w:cstheme="minorHAnsi"/>
                <w:iCs/>
                <w:sz w:val="20"/>
                <w:szCs w:val="20"/>
              </w:rPr>
              <w:t xml:space="preserve">Provide all staff with </w:t>
            </w:r>
            <w:r w:rsidRPr="00DF47E1">
              <w:rPr>
                <w:rFonts w:asciiTheme="minorHAnsi" w:hAnsiTheme="minorHAnsi" w:cstheme="minorHAnsi"/>
                <w:iCs/>
                <w:sz w:val="20"/>
                <w:szCs w:val="20"/>
              </w:rPr>
              <w:t xml:space="preserve">training in reading </w:t>
            </w:r>
            <w:r>
              <w:rPr>
                <w:rFonts w:asciiTheme="minorHAnsi" w:hAnsiTheme="minorHAnsi" w:cstheme="minorHAnsi"/>
                <w:iCs/>
                <w:sz w:val="20"/>
                <w:szCs w:val="20"/>
              </w:rPr>
              <w:t>reconsidered principles. I</w:t>
            </w:r>
            <w:r w:rsidRPr="00DF47E1">
              <w:rPr>
                <w:rFonts w:asciiTheme="minorHAnsi" w:hAnsiTheme="minorHAnsi" w:cstheme="minorHAnsi"/>
                <w:iCs/>
                <w:sz w:val="20"/>
                <w:szCs w:val="20"/>
              </w:rPr>
              <w:t>mplementation of the robust reading programme</w:t>
            </w:r>
            <w:r>
              <w:rPr>
                <w:rFonts w:asciiTheme="minorHAnsi" w:hAnsiTheme="minorHAnsi" w:cstheme="minorHAnsi"/>
                <w:iCs/>
                <w:sz w:val="20"/>
                <w:szCs w:val="20"/>
              </w:rPr>
              <w:t xml:space="preserve"> for all students</w:t>
            </w:r>
            <w:r w:rsidRPr="00DF47E1">
              <w:rPr>
                <w:rFonts w:asciiTheme="minorHAnsi" w:hAnsiTheme="minorHAnsi" w:cstheme="minorHAnsi"/>
                <w:iCs/>
                <w:sz w:val="20"/>
                <w:szCs w:val="20"/>
              </w:rPr>
              <w:t xml:space="preserve">. This will include discussion of text and the use of structured questioning to develop reading comprehension. </w:t>
            </w:r>
          </w:p>
          <w:p w14:paraId="2A7D551E" w14:textId="1523A652" w:rsidR="00E66558" w:rsidRPr="00DF47E1" w:rsidRDefault="00E66558">
            <w:pPr>
              <w:pStyle w:val="TableRow"/>
              <w:rPr>
                <w:rFonts w:asciiTheme="minorHAnsi" w:hAnsiTheme="minorHAnsi" w:cstheme="minorHAnsi"/>
                <w:sz w:val="20"/>
                <w:szCs w:val="20"/>
              </w:rPr>
            </w:pPr>
          </w:p>
        </w:tc>
        <w:tc>
          <w:tcPr>
            <w:tcW w:w="5183" w:type="dxa"/>
            <w:shd w:val="clear" w:color="auto" w:fill="auto"/>
            <w:tcMar>
              <w:top w:w="0" w:type="dxa"/>
              <w:left w:w="108" w:type="dxa"/>
              <w:bottom w:w="0" w:type="dxa"/>
              <w:right w:w="108" w:type="dxa"/>
            </w:tcMar>
          </w:tcPr>
          <w:p w14:paraId="2A7D551F" w14:textId="11EDD0EF" w:rsidR="00E66558" w:rsidRPr="00DF47E1" w:rsidRDefault="00C931C0">
            <w:pPr>
              <w:pStyle w:val="TableRowCentered"/>
              <w:jc w:val="left"/>
              <w:rPr>
                <w:rFonts w:asciiTheme="minorHAnsi" w:hAnsiTheme="minorHAnsi" w:cstheme="minorHAnsi"/>
                <w:sz w:val="20"/>
              </w:rPr>
            </w:pPr>
            <w:r w:rsidRPr="00DF47E1">
              <w:rPr>
                <w:rFonts w:asciiTheme="minorHAnsi" w:hAnsiTheme="minorHAnsi" w:cstheme="minorHAnsi"/>
                <w:sz w:val="20"/>
              </w:rPr>
              <w:t xml:space="preserve"> </w:t>
            </w:r>
            <w:hyperlink r:id="rId11" w:history="1">
              <w:r w:rsidR="00811820" w:rsidRPr="009D61A8">
                <w:rPr>
                  <w:rStyle w:val="Hyperlink"/>
                  <w:rFonts w:asciiTheme="minorHAnsi" w:hAnsiTheme="minorHAnsi" w:cstheme="minorHAnsi"/>
                  <w:sz w:val="20"/>
                </w:rPr>
                <w:t>https://educationendowmentfoundation.org.uk/education-evidence/teaching-learning-toolkit/reading-comprehension-strategies</w:t>
              </w:r>
            </w:hyperlink>
            <w:r w:rsidR="00811820">
              <w:rPr>
                <w:rFonts w:asciiTheme="minorHAnsi" w:hAnsiTheme="minorHAnsi" w:cstheme="minorHAnsi"/>
                <w:sz w:val="20"/>
              </w:rPr>
              <w:t xml:space="preserve"> </w:t>
            </w:r>
          </w:p>
        </w:tc>
        <w:tc>
          <w:tcPr>
            <w:tcW w:w="2085" w:type="dxa"/>
            <w:shd w:val="clear" w:color="auto" w:fill="auto"/>
            <w:tcMar>
              <w:top w:w="0" w:type="dxa"/>
              <w:left w:w="108" w:type="dxa"/>
              <w:bottom w:w="0" w:type="dxa"/>
              <w:right w:w="108" w:type="dxa"/>
            </w:tcMar>
          </w:tcPr>
          <w:p w14:paraId="2A7D5520" w14:textId="2ADE2CBC" w:rsidR="00E66558" w:rsidRPr="00DF47E1" w:rsidRDefault="00C10153" w:rsidP="00577806">
            <w:pPr>
              <w:pStyle w:val="TableRowCentered"/>
              <w:ind w:left="0"/>
              <w:jc w:val="left"/>
              <w:rPr>
                <w:rFonts w:asciiTheme="minorHAnsi" w:hAnsiTheme="minorHAnsi" w:cstheme="minorHAnsi"/>
                <w:sz w:val="20"/>
              </w:rPr>
            </w:pPr>
            <w:r>
              <w:rPr>
                <w:rFonts w:asciiTheme="minorHAnsi" w:hAnsiTheme="minorHAnsi" w:cstheme="minorHAnsi"/>
                <w:sz w:val="20"/>
              </w:rPr>
              <w:t>1,2,4,5</w:t>
            </w:r>
          </w:p>
        </w:tc>
      </w:tr>
      <w:tr w:rsidR="00010AC1" w:rsidRPr="00C10153" w14:paraId="4F92BABC" w14:textId="77777777" w:rsidTr="00765B64">
        <w:tc>
          <w:tcPr>
            <w:tcW w:w="2218" w:type="dxa"/>
            <w:shd w:val="clear" w:color="auto" w:fill="auto"/>
            <w:tcMar>
              <w:top w:w="0" w:type="dxa"/>
              <w:left w:w="108" w:type="dxa"/>
              <w:bottom w:w="0" w:type="dxa"/>
              <w:right w:w="108" w:type="dxa"/>
            </w:tcMar>
          </w:tcPr>
          <w:p w14:paraId="58D82C97" w14:textId="77777777" w:rsidR="00DF47E1" w:rsidRPr="00C10153" w:rsidRDefault="00DF47E1" w:rsidP="00DF47E1">
            <w:pPr>
              <w:pStyle w:val="TableRow"/>
              <w:rPr>
                <w:rFonts w:asciiTheme="minorHAnsi" w:hAnsiTheme="minorHAnsi" w:cstheme="minorHAnsi"/>
                <w:iCs/>
                <w:sz w:val="20"/>
                <w:szCs w:val="20"/>
              </w:rPr>
            </w:pPr>
            <w:r w:rsidRPr="00C10153">
              <w:rPr>
                <w:rFonts w:asciiTheme="minorHAnsi" w:hAnsiTheme="minorHAnsi" w:cstheme="minorHAnsi"/>
                <w:iCs/>
                <w:sz w:val="20"/>
                <w:szCs w:val="20"/>
              </w:rPr>
              <w:t>Fortnightly instructional coaching for all teaching staff.</w:t>
            </w:r>
          </w:p>
          <w:p w14:paraId="5BAF5541" w14:textId="525A2BC5" w:rsidR="00010AC1" w:rsidRPr="00C10153" w:rsidRDefault="00010AC1">
            <w:pPr>
              <w:pStyle w:val="TableRow"/>
              <w:rPr>
                <w:rFonts w:asciiTheme="minorHAnsi" w:hAnsiTheme="minorHAnsi" w:cstheme="minorHAnsi"/>
                <w:sz w:val="20"/>
                <w:szCs w:val="20"/>
              </w:rPr>
            </w:pPr>
          </w:p>
        </w:tc>
        <w:tc>
          <w:tcPr>
            <w:tcW w:w="5183" w:type="dxa"/>
            <w:shd w:val="clear" w:color="auto" w:fill="auto"/>
            <w:tcMar>
              <w:top w:w="0" w:type="dxa"/>
              <w:left w:w="108" w:type="dxa"/>
              <w:bottom w:w="0" w:type="dxa"/>
              <w:right w:w="108" w:type="dxa"/>
            </w:tcMar>
          </w:tcPr>
          <w:p w14:paraId="28B17F2D" w14:textId="77777777" w:rsidR="00C10153" w:rsidRPr="00C10153" w:rsidRDefault="00DF47E1" w:rsidP="00DF47E1">
            <w:pPr>
              <w:pStyle w:val="TableRowCentered"/>
              <w:ind w:left="0"/>
              <w:jc w:val="left"/>
              <w:rPr>
                <w:rFonts w:asciiTheme="minorHAnsi" w:hAnsiTheme="minorHAnsi" w:cstheme="minorHAnsi"/>
                <w:sz w:val="20"/>
              </w:rPr>
            </w:pPr>
            <w:r w:rsidRPr="00C10153">
              <w:rPr>
                <w:rFonts w:asciiTheme="minorHAnsi" w:hAnsiTheme="minorHAnsi" w:cstheme="minorHAnsi"/>
                <w:sz w:val="20"/>
              </w:rPr>
              <w:t xml:space="preserve">Instructional coaching shows greater impact on student outcomes and effective teaching and learning than other forms of CPD. </w:t>
            </w:r>
          </w:p>
          <w:p w14:paraId="136CF0F7" w14:textId="77777777" w:rsidR="00C10153" w:rsidRPr="00C10153" w:rsidRDefault="00C10153" w:rsidP="00DF47E1">
            <w:pPr>
              <w:pStyle w:val="TableRowCentered"/>
              <w:ind w:left="0"/>
              <w:jc w:val="left"/>
              <w:rPr>
                <w:rFonts w:asciiTheme="minorHAnsi" w:hAnsiTheme="minorHAnsi" w:cstheme="minorHAnsi"/>
                <w:sz w:val="20"/>
              </w:rPr>
            </w:pPr>
          </w:p>
          <w:p w14:paraId="7E5764AB" w14:textId="3C6896C6" w:rsidR="00DF47E1" w:rsidRPr="00C10153" w:rsidRDefault="00C10153" w:rsidP="00DF47E1">
            <w:pPr>
              <w:pStyle w:val="TableRowCentered"/>
              <w:ind w:left="0"/>
              <w:jc w:val="left"/>
              <w:rPr>
                <w:rFonts w:asciiTheme="minorHAnsi" w:hAnsiTheme="minorHAnsi" w:cstheme="minorHAnsi"/>
                <w:sz w:val="20"/>
              </w:rPr>
            </w:pPr>
            <w:r w:rsidRPr="00C10153">
              <w:rPr>
                <w:rFonts w:asciiTheme="minorHAnsi" w:hAnsiTheme="minorHAnsi" w:cstheme="minorHAnsi"/>
                <w:sz w:val="20"/>
              </w:rPr>
              <w:t>h</w:t>
            </w:r>
            <w:r w:rsidR="00DF47E1" w:rsidRPr="00C10153">
              <w:rPr>
                <w:rFonts w:asciiTheme="minorHAnsi" w:hAnsiTheme="minorHAnsi" w:cstheme="minorHAnsi"/>
                <w:sz w:val="20"/>
              </w:rPr>
              <w:t xml:space="preserve">ttps://www.ambition.org.uk/blog/what-instructional-coaching/ </w:t>
            </w:r>
          </w:p>
          <w:p w14:paraId="706689D5" w14:textId="0E34EDCB" w:rsidR="00010AC1" w:rsidRPr="00C10153" w:rsidRDefault="00010AC1">
            <w:pPr>
              <w:pStyle w:val="TableRowCentered"/>
              <w:jc w:val="left"/>
              <w:rPr>
                <w:rFonts w:asciiTheme="minorHAnsi" w:hAnsiTheme="minorHAnsi" w:cstheme="minorHAnsi"/>
                <w:sz w:val="20"/>
              </w:rPr>
            </w:pPr>
          </w:p>
        </w:tc>
        <w:tc>
          <w:tcPr>
            <w:tcW w:w="2085" w:type="dxa"/>
            <w:shd w:val="clear" w:color="auto" w:fill="auto"/>
            <w:tcMar>
              <w:top w:w="0" w:type="dxa"/>
              <w:left w:w="108" w:type="dxa"/>
              <w:bottom w:w="0" w:type="dxa"/>
              <w:right w:w="108" w:type="dxa"/>
            </w:tcMar>
          </w:tcPr>
          <w:p w14:paraId="28C2ADD0" w14:textId="168943FF" w:rsidR="00010AC1" w:rsidRPr="00C10153" w:rsidRDefault="00DF47E1" w:rsidP="00577806">
            <w:pPr>
              <w:pStyle w:val="TableRowCentered"/>
              <w:ind w:left="0"/>
              <w:jc w:val="left"/>
              <w:rPr>
                <w:rFonts w:asciiTheme="minorHAnsi" w:hAnsiTheme="minorHAnsi" w:cstheme="minorHAnsi"/>
                <w:sz w:val="20"/>
              </w:rPr>
            </w:pPr>
            <w:r w:rsidRPr="00C10153">
              <w:rPr>
                <w:rFonts w:asciiTheme="minorHAnsi" w:hAnsiTheme="minorHAnsi" w:cstheme="minorHAnsi"/>
                <w:sz w:val="20"/>
              </w:rPr>
              <w:t>1,2,4,5</w:t>
            </w:r>
          </w:p>
        </w:tc>
      </w:tr>
      <w:tr w:rsidR="00010AC1" w:rsidRPr="00C10153" w14:paraId="0CD5FC6A" w14:textId="77777777" w:rsidTr="00765B64">
        <w:tc>
          <w:tcPr>
            <w:tcW w:w="2218" w:type="dxa"/>
            <w:shd w:val="clear" w:color="auto" w:fill="auto"/>
            <w:tcMar>
              <w:top w:w="0" w:type="dxa"/>
              <w:left w:w="108" w:type="dxa"/>
              <w:bottom w:w="0" w:type="dxa"/>
              <w:right w:w="108" w:type="dxa"/>
            </w:tcMar>
          </w:tcPr>
          <w:p w14:paraId="1B98E0DC" w14:textId="47AF00EF" w:rsidR="00010AC1" w:rsidRPr="00C10153" w:rsidRDefault="008D41B3">
            <w:pPr>
              <w:pStyle w:val="TableRow"/>
              <w:rPr>
                <w:rFonts w:asciiTheme="minorHAnsi" w:hAnsiTheme="minorHAnsi" w:cstheme="minorHAnsi"/>
                <w:sz w:val="20"/>
                <w:szCs w:val="20"/>
              </w:rPr>
            </w:pPr>
            <w:r w:rsidRPr="00C10153">
              <w:rPr>
                <w:rFonts w:asciiTheme="minorHAnsi" w:hAnsiTheme="minorHAnsi" w:cstheme="minorHAnsi"/>
                <w:sz w:val="20"/>
                <w:szCs w:val="20"/>
              </w:rPr>
              <w:t xml:space="preserve">Home learning </w:t>
            </w:r>
            <w:r w:rsidR="00811820" w:rsidRPr="00C10153">
              <w:rPr>
                <w:rFonts w:asciiTheme="minorHAnsi" w:hAnsiTheme="minorHAnsi" w:cstheme="minorHAnsi"/>
                <w:sz w:val="20"/>
                <w:szCs w:val="20"/>
              </w:rPr>
              <w:t>and home learning club</w:t>
            </w:r>
          </w:p>
        </w:tc>
        <w:tc>
          <w:tcPr>
            <w:tcW w:w="5183" w:type="dxa"/>
            <w:shd w:val="clear" w:color="auto" w:fill="auto"/>
            <w:tcMar>
              <w:top w:w="0" w:type="dxa"/>
              <w:left w:w="108" w:type="dxa"/>
              <w:bottom w:w="0" w:type="dxa"/>
              <w:right w:w="108" w:type="dxa"/>
            </w:tcMar>
          </w:tcPr>
          <w:p w14:paraId="405B6CB6" w14:textId="77777777" w:rsidR="00010AC1" w:rsidRPr="00C10153" w:rsidRDefault="006B5B25">
            <w:pPr>
              <w:pStyle w:val="TableRowCentered"/>
              <w:jc w:val="left"/>
              <w:rPr>
                <w:rFonts w:asciiTheme="minorHAnsi" w:hAnsiTheme="minorHAnsi" w:cstheme="minorHAnsi"/>
                <w:sz w:val="20"/>
              </w:rPr>
            </w:pPr>
            <w:r w:rsidRPr="00C10153">
              <w:rPr>
                <w:rFonts w:asciiTheme="minorHAnsi" w:hAnsiTheme="minorHAnsi" w:cstheme="minorHAnsi"/>
                <w:sz w:val="20"/>
              </w:rPr>
              <w:t>Homework (+5 months) Homework has a positive impact, particularly with pupils in secondary schools. Some pupils may not have a quiet space for home learning. It is more effective when homework is linked to classroom work, studies show where home learning is linked to feedback there is a higher impact on learning. It is important to make the purpose of homework clear to pupils.</w:t>
            </w:r>
          </w:p>
          <w:p w14:paraId="09FC1F7F" w14:textId="77777777" w:rsidR="00F96CA9" w:rsidRPr="00C10153" w:rsidRDefault="00F96CA9">
            <w:pPr>
              <w:pStyle w:val="TableRowCentered"/>
              <w:jc w:val="left"/>
              <w:rPr>
                <w:rFonts w:asciiTheme="minorHAnsi" w:hAnsiTheme="minorHAnsi" w:cstheme="minorHAnsi"/>
                <w:sz w:val="20"/>
              </w:rPr>
            </w:pPr>
          </w:p>
          <w:p w14:paraId="52F727DF" w14:textId="1712081E" w:rsidR="00F96CA9" w:rsidRPr="00C10153" w:rsidRDefault="00F96CA9">
            <w:pPr>
              <w:pStyle w:val="TableRowCentered"/>
              <w:jc w:val="left"/>
              <w:rPr>
                <w:rFonts w:asciiTheme="minorHAnsi" w:hAnsiTheme="minorHAnsi" w:cstheme="minorHAnsi"/>
                <w:sz w:val="20"/>
              </w:rPr>
            </w:pPr>
            <w:r w:rsidRPr="00C10153">
              <w:rPr>
                <w:rFonts w:asciiTheme="minorHAnsi" w:hAnsiTheme="minorHAnsi" w:cstheme="minorHAnsi"/>
                <w:sz w:val="20"/>
              </w:rPr>
              <w:lastRenderedPageBreak/>
              <w:t>At KS3 home learning approach will be based on read cover write check technique to help students to move information into their long term memory.</w:t>
            </w:r>
          </w:p>
        </w:tc>
        <w:tc>
          <w:tcPr>
            <w:tcW w:w="2085" w:type="dxa"/>
            <w:shd w:val="clear" w:color="auto" w:fill="auto"/>
            <w:tcMar>
              <w:top w:w="0" w:type="dxa"/>
              <w:left w:w="108" w:type="dxa"/>
              <w:bottom w:w="0" w:type="dxa"/>
              <w:right w:w="108" w:type="dxa"/>
            </w:tcMar>
          </w:tcPr>
          <w:p w14:paraId="6EC16895" w14:textId="68393C82" w:rsidR="00010AC1" w:rsidRPr="00C10153" w:rsidRDefault="00C13A40">
            <w:pPr>
              <w:pStyle w:val="TableRowCentered"/>
              <w:jc w:val="left"/>
              <w:rPr>
                <w:rFonts w:asciiTheme="minorHAnsi" w:hAnsiTheme="minorHAnsi" w:cstheme="minorHAnsi"/>
                <w:sz w:val="20"/>
              </w:rPr>
            </w:pPr>
            <w:r w:rsidRPr="00C10153">
              <w:rPr>
                <w:rFonts w:asciiTheme="minorHAnsi" w:hAnsiTheme="minorHAnsi" w:cstheme="minorHAnsi"/>
                <w:sz w:val="20"/>
              </w:rPr>
              <w:lastRenderedPageBreak/>
              <w:t>1,2,4,5</w:t>
            </w:r>
          </w:p>
        </w:tc>
      </w:tr>
      <w:tr w:rsidR="00010AC1" w:rsidRPr="00C10153" w14:paraId="149BA83C" w14:textId="77777777" w:rsidTr="00765B64">
        <w:tc>
          <w:tcPr>
            <w:tcW w:w="2218" w:type="dxa"/>
            <w:shd w:val="clear" w:color="auto" w:fill="auto"/>
            <w:tcMar>
              <w:top w:w="0" w:type="dxa"/>
              <w:left w:w="108" w:type="dxa"/>
              <w:bottom w:w="0" w:type="dxa"/>
              <w:right w:w="108" w:type="dxa"/>
            </w:tcMar>
          </w:tcPr>
          <w:p w14:paraId="3E91D954" w14:textId="29C48050" w:rsidR="00010AC1" w:rsidRPr="00C10153" w:rsidRDefault="00811820" w:rsidP="00811820">
            <w:pPr>
              <w:pStyle w:val="TableRow"/>
              <w:rPr>
                <w:rFonts w:asciiTheme="minorHAnsi" w:hAnsiTheme="minorHAnsi" w:cstheme="minorHAnsi"/>
                <w:sz w:val="20"/>
                <w:szCs w:val="20"/>
              </w:rPr>
            </w:pPr>
            <w:r w:rsidRPr="00C10153">
              <w:rPr>
                <w:rFonts w:asciiTheme="minorHAnsi" w:hAnsiTheme="minorHAnsi" w:cstheme="minorHAnsi"/>
                <w:sz w:val="20"/>
                <w:szCs w:val="20"/>
              </w:rPr>
              <w:t>Design and implement a bespoke CPD programme underpinned by development of a practice culture</w:t>
            </w:r>
          </w:p>
        </w:tc>
        <w:tc>
          <w:tcPr>
            <w:tcW w:w="5183" w:type="dxa"/>
            <w:shd w:val="clear" w:color="auto" w:fill="auto"/>
            <w:tcMar>
              <w:top w:w="0" w:type="dxa"/>
              <w:left w:w="108" w:type="dxa"/>
              <w:bottom w:w="0" w:type="dxa"/>
              <w:right w:w="108" w:type="dxa"/>
            </w:tcMar>
          </w:tcPr>
          <w:p w14:paraId="34A05B60" w14:textId="77777777" w:rsidR="00010AC1" w:rsidRPr="00C10153" w:rsidRDefault="00970510">
            <w:pPr>
              <w:pStyle w:val="TableRowCentered"/>
              <w:jc w:val="left"/>
              <w:rPr>
                <w:rFonts w:asciiTheme="minorHAnsi" w:hAnsiTheme="minorHAnsi" w:cstheme="minorHAnsi"/>
                <w:sz w:val="20"/>
              </w:rPr>
            </w:pPr>
            <w:hyperlink r:id="rId12" w:history="1">
              <w:r w:rsidR="00811820" w:rsidRPr="00C10153">
                <w:rPr>
                  <w:rStyle w:val="Hyperlink"/>
                  <w:rFonts w:asciiTheme="minorHAnsi" w:hAnsiTheme="minorHAnsi" w:cstheme="minorHAnsi"/>
                  <w:sz w:val="20"/>
                </w:rPr>
                <w:t>https://educationendowmentfoundation.org.uk/education-evidence/teaching-learning-toolkit/feedback</w:t>
              </w:r>
            </w:hyperlink>
            <w:r w:rsidR="00811820" w:rsidRPr="00C10153">
              <w:rPr>
                <w:rFonts w:asciiTheme="minorHAnsi" w:hAnsiTheme="minorHAnsi" w:cstheme="minorHAnsi"/>
                <w:sz w:val="20"/>
              </w:rPr>
              <w:t xml:space="preserve"> </w:t>
            </w:r>
          </w:p>
          <w:p w14:paraId="7C4B4C52" w14:textId="10490835" w:rsidR="00811820" w:rsidRPr="00C10153" w:rsidRDefault="00970510">
            <w:pPr>
              <w:pStyle w:val="TableRowCentered"/>
              <w:jc w:val="left"/>
              <w:rPr>
                <w:rFonts w:asciiTheme="minorHAnsi" w:hAnsiTheme="minorHAnsi" w:cstheme="minorHAnsi"/>
                <w:sz w:val="20"/>
              </w:rPr>
            </w:pPr>
            <w:hyperlink r:id="rId13" w:history="1">
              <w:r w:rsidR="00811820" w:rsidRPr="00C10153">
                <w:rPr>
                  <w:rStyle w:val="Hyperlink"/>
                  <w:rFonts w:asciiTheme="minorHAnsi" w:hAnsiTheme="minorHAnsi" w:cstheme="minorHAnsi"/>
                  <w:sz w:val="20"/>
                </w:rPr>
                <w:t>https://educationendowmentfoundation.org.uk/education-evidence/teaching-learning-toolkit/metacognition-and-self-regulation</w:t>
              </w:r>
            </w:hyperlink>
            <w:r w:rsidR="00811820" w:rsidRPr="00C10153">
              <w:rPr>
                <w:rFonts w:asciiTheme="minorHAnsi" w:hAnsiTheme="minorHAnsi" w:cstheme="minorHAnsi"/>
                <w:sz w:val="20"/>
              </w:rPr>
              <w:t xml:space="preserve"> </w:t>
            </w:r>
          </w:p>
        </w:tc>
        <w:tc>
          <w:tcPr>
            <w:tcW w:w="2085" w:type="dxa"/>
            <w:shd w:val="clear" w:color="auto" w:fill="auto"/>
            <w:tcMar>
              <w:top w:w="0" w:type="dxa"/>
              <w:left w:w="108" w:type="dxa"/>
              <w:bottom w:w="0" w:type="dxa"/>
              <w:right w:w="108" w:type="dxa"/>
            </w:tcMar>
          </w:tcPr>
          <w:p w14:paraId="6FBBD9B3" w14:textId="4D5AF2D8" w:rsidR="00010AC1" w:rsidRPr="00C10153" w:rsidRDefault="00811820">
            <w:pPr>
              <w:pStyle w:val="TableRowCentered"/>
              <w:jc w:val="left"/>
              <w:rPr>
                <w:rFonts w:asciiTheme="minorHAnsi" w:hAnsiTheme="minorHAnsi" w:cstheme="minorHAnsi"/>
                <w:sz w:val="20"/>
              </w:rPr>
            </w:pPr>
            <w:r w:rsidRPr="00C10153">
              <w:rPr>
                <w:rFonts w:asciiTheme="minorHAnsi" w:hAnsiTheme="minorHAnsi" w:cstheme="minorHAnsi"/>
                <w:sz w:val="20"/>
              </w:rPr>
              <w:t>1,2,4,5</w:t>
            </w:r>
          </w:p>
        </w:tc>
      </w:tr>
    </w:tbl>
    <w:p w14:paraId="2A7D5522" w14:textId="77777777" w:rsidR="00E66558" w:rsidRPr="00C10153" w:rsidRDefault="00E66558">
      <w:pPr>
        <w:keepNext/>
        <w:spacing w:after="60"/>
        <w:outlineLvl w:val="1"/>
        <w:rPr>
          <w:rFonts w:asciiTheme="minorHAnsi" w:hAnsiTheme="minorHAnsi" w:cstheme="minorHAnsi"/>
          <w:sz w:val="20"/>
          <w:szCs w:val="20"/>
        </w:rPr>
      </w:pPr>
    </w:p>
    <w:p w14:paraId="2A7D5523" w14:textId="1DC08891" w:rsidR="00E66558" w:rsidRPr="009851BF" w:rsidRDefault="009D71E8">
      <w:pPr>
        <w:rPr>
          <w:rFonts w:asciiTheme="minorHAnsi" w:hAnsiTheme="minorHAnsi" w:cstheme="minorHAnsi"/>
          <w:b/>
          <w:bCs/>
          <w:color w:val="104F75"/>
        </w:rPr>
      </w:pPr>
      <w:r w:rsidRPr="009851BF">
        <w:rPr>
          <w:rFonts w:asciiTheme="minorHAnsi" w:hAnsiTheme="minorHAnsi" w:cstheme="minorHAnsi"/>
          <w:b/>
          <w:bCs/>
          <w:color w:val="104F75"/>
        </w:rPr>
        <w:t xml:space="preserve">Targeted academic support (for example, </w:t>
      </w:r>
      <w:r w:rsidR="00D33FE5" w:rsidRPr="009851BF">
        <w:rPr>
          <w:rFonts w:asciiTheme="minorHAnsi" w:hAnsiTheme="minorHAnsi" w:cstheme="minorHAnsi"/>
          <w:b/>
          <w:bCs/>
          <w:color w:val="104F75"/>
        </w:rPr>
        <w:t xml:space="preserve">tutoring, one-to-one support </w:t>
      </w:r>
      <w:r w:rsidRPr="009851BF">
        <w:rPr>
          <w:rFonts w:asciiTheme="minorHAnsi" w:hAnsiTheme="minorHAnsi" w:cstheme="minorHAnsi"/>
          <w:b/>
          <w:bCs/>
          <w:color w:val="104F75"/>
        </w:rPr>
        <w:t xml:space="preserve">structured interventions) </w:t>
      </w:r>
    </w:p>
    <w:p w14:paraId="2A7D5524" w14:textId="3B7BE982" w:rsidR="00E66558" w:rsidRPr="009851BF" w:rsidRDefault="009D71E8">
      <w:pPr>
        <w:rPr>
          <w:rFonts w:asciiTheme="minorHAnsi" w:hAnsiTheme="minorHAnsi" w:cstheme="minorHAnsi"/>
        </w:rPr>
      </w:pPr>
      <w:r w:rsidRPr="009851BF">
        <w:rPr>
          <w:rFonts w:asciiTheme="minorHAnsi" w:hAnsiTheme="minorHAnsi" w:cstheme="minorHAnsi"/>
        </w:rPr>
        <w:t xml:space="preserve">Budgeted cost: £ </w:t>
      </w:r>
      <w:r w:rsidR="00765B64">
        <w:rPr>
          <w:rFonts w:asciiTheme="minorHAnsi" w:hAnsiTheme="minorHAnsi" w:cstheme="minorHAnsi"/>
          <w:iCs/>
        </w:rPr>
        <w:t>25</w:t>
      </w:r>
      <w:r w:rsidR="00BB1BA8" w:rsidRPr="009851BF">
        <w:rPr>
          <w:rFonts w:asciiTheme="minorHAnsi" w:hAnsiTheme="minorHAnsi" w:cstheme="minorHAnsi"/>
          <w:iCs/>
        </w:rPr>
        <w:t>0</w:t>
      </w:r>
      <w:r w:rsidR="00AD761A" w:rsidRPr="009851BF">
        <w:rPr>
          <w:rFonts w:asciiTheme="minorHAnsi" w:hAnsiTheme="minorHAnsi" w:cstheme="minorHAnsi"/>
          <w:iCs/>
        </w:rPr>
        <w:t xml:space="preserve">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C10153"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C10153" w:rsidRDefault="009D71E8">
            <w:pPr>
              <w:pStyle w:val="TableHeader"/>
              <w:jc w:val="left"/>
              <w:rPr>
                <w:rFonts w:asciiTheme="minorHAnsi" w:hAnsiTheme="minorHAnsi" w:cstheme="minorHAnsi"/>
                <w:sz w:val="20"/>
                <w:szCs w:val="20"/>
              </w:rPr>
            </w:pPr>
            <w:r w:rsidRPr="00C10153">
              <w:rPr>
                <w:rFonts w:asciiTheme="minorHAnsi" w:hAnsiTheme="minorHAnsi" w:cstheme="minorHAnsi"/>
                <w:sz w:val="20"/>
                <w:szCs w:val="20"/>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C10153" w:rsidRDefault="009D71E8">
            <w:pPr>
              <w:pStyle w:val="TableHeader"/>
              <w:jc w:val="left"/>
              <w:rPr>
                <w:rFonts w:asciiTheme="minorHAnsi" w:hAnsiTheme="minorHAnsi" w:cstheme="minorHAnsi"/>
                <w:sz w:val="20"/>
                <w:szCs w:val="20"/>
              </w:rPr>
            </w:pPr>
            <w:r w:rsidRPr="00C10153">
              <w:rPr>
                <w:rFonts w:asciiTheme="minorHAnsi" w:hAnsiTheme="minorHAnsi" w:cstheme="minorHAnsi"/>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C10153" w:rsidRDefault="009D71E8">
            <w:pPr>
              <w:pStyle w:val="TableHeader"/>
              <w:jc w:val="left"/>
              <w:rPr>
                <w:rFonts w:asciiTheme="minorHAnsi" w:hAnsiTheme="minorHAnsi" w:cstheme="minorHAnsi"/>
                <w:sz w:val="20"/>
                <w:szCs w:val="20"/>
              </w:rPr>
            </w:pPr>
            <w:r w:rsidRPr="00C10153">
              <w:rPr>
                <w:rFonts w:asciiTheme="minorHAnsi" w:hAnsiTheme="minorHAnsi" w:cstheme="minorHAnsi"/>
                <w:sz w:val="20"/>
                <w:szCs w:val="20"/>
              </w:rPr>
              <w:t>Challenge number(s) addressed</w:t>
            </w:r>
          </w:p>
        </w:tc>
      </w:tr>
      <w:tr w:rsidR="00E66558" w:rsidRPr="00C10153" w14:paraId="2A7D552C" w14:textId="77777777" w:rsidTr="009355B9">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9" w14:textId="5265726B" w:rsidR="00E66558" w:rsidRPr="00C10153" w:rsidRDefault="006B5B25">
            <w:pPr>
              <w:pStyle w:val="TableRow"/>
              <w:rPr>
                <w:rFonts w:asciiTheme="minorHAnsi" w:hAnsiTheme="minorHAnsi" w:cstheme="minorHAnsi"/>
                <w:sz w:val="20"/>
                <w:szCs w:val="20"/>
              </w:rPr>
            </w:pPr>
            <w:r w:rsidRPr="00C10153">
              <w:rPr>
                <w:rFonts w:asciiTheme="minorHAnsi" w:hAnsiTheme="minorHAnsi" w:cstheme="minorHAnsi"/>
                <w:iCs/>
                <w:sz w:val="20"/>
                <w:szCs w:val="20"/>
              </w:rPr>
              <w:t>One to one and small group tuition</w:t>
            </w:r>
          </w:p>
        </w:tc>
        <w:tc>
          <w:tcPr>
            <w:tcW w:w="4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A" w14:textId="63FCCCD7" w:rsidR="00E66558" w:rsidRPr="00C10153" w:rsidRDefault="006B5B25">
            <w:pPr>
              <w:pStyle w:val="TableRowCentered"/>
              <w:jc w:val="left"/>
              <w:rPr>
                <w:rFonts w:asciiTheme="minorHAnsi" w:hAnsiTheme="minorHAnsi" w:cstheme="minorHAnsi"/>
                <w:sz w:val="20"/>
              </w:rPr>
            </w:pPr>
            <w:r w:rsidRPr="00C10153">
              <w:rPr>
                <w:rFonts w:asciiTheme="minorHAnsi" w:hAnsiTheme="minorHAnsi" w:cstheme="minorHAnsi"/>
                <w:sz w:val="20"/>
              </w:rPr>
              <w:t>One to one tuition is very effective at impro</w:t>
            </w:r>
            <w:r w:rsidR="009355B9" w:rsidRPr="00C10153">
              <w:rPr>
                <w:rFonts w:asciiTheme="minorHAnsi" w:hAnsiTheme="minorHAnsi" w:cstheme="minorHAnsi"/>
                <w:sz w:val="20"/>
              </w:rPr>
              <w:t>ving pupil outcomes (average + 4</w:t>
            </w:r>
            <w:r w:rsidRPr="00C10153">
              <w:rPr>
                <w:rFonts w:asciiTheme="minorHAnsi" w:hAnsiTheme="minorHAnsi" w:cstheme="minorHAnsi"/>
                <w:sz w:val="20"/>
              </w:rPr>
              <w:t xml:space="preserve"> mo</w:t>
            </w:r>
            <w:r w:rsidR="00677C6A" w:rsidRPr="00C10153">
              <w:rPr>
                <w:rFonts w:asciiTheme="minorHAnsi" w:hAnsiTheme="minorHAnsi" w:cstheme="minorHAnsi"/>
                <w:sz w:val="20"/>
              </w:rPr>
              <w:t>nths). Tuition is more likely t</w:t>
            </w:r>
            <w:r w:rsidRPr="00C10153">
              <w:rPr>
                <w:rFonts w:asciiTheme="minorHAnsi" w:hAnsiTheme="minorHAnsi" w:cstheme="minorHAnsi"/>
                <w:sz w:val="20"/>
              </w:rPr>
              <w:t>o make an impact if it is additional to and explicitly linked with normal lessons. Short, regular sessions (about 30 minutes, three to five times per week), over a set period of time (up to ten weeks) appear to result in optimum impact</w:t>
            </w:r>
            <w:r w:rsidR="009355B9" w:rsidRPr="00C10153">
              <w:rPr>
                <w:rFonts w:asciiTheme="minorHAnsi" w:hAnsiTheme="minorHAnsi" w:cstheme="minorHAnsi"/>
                <w:sz w:val="20"/>
              </w:rPr>
              <w:t>.</w:t>
            </w:r>
          </w:p>
        </w:tc>
        <w:tc>
          <w:tcPr>
            <w:tcW w:w="2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B" w14:textId="6BEFA658" w:rsidR="00E66558" w:rsidRPr="00C10153" w:rsidRDefault="00C13A40">
            <w:pPr>
              <w:pStyle w:val="TableRowCentered"/>
              <w:jc w:val="left"/>
              <w:rPr>
                <w:rFonts w:asciiTheme="minorHAnsi" w:hAnsiTheme="minorHAnsi" w:cstheme="minorHAnsi"/>
                <w:sz w:val="20"/>
              </w:rPr>
            </w:pPr>
            <w:r w:rsidRPr="00C10153">
              <w:rPr>
                <w:rFonts w:asciiTheme="minorHAnsi" w:hAnsiTheme="minorHAnsi" w:cstheme="minorHAnsi"/>
                <w:sz w:val="20"/>
              </w:rPr>
              <w:t>1,2,4,5</w:t>
            </w:r>
          </w:p>
        </w:tc>
      </w:tr>
      <w:tr w:rsidR="00765B64" w:rsidRPr="00C10153" w14:paraId="2A7D5530" w14:textId="77777777" w:rsidTr="009355B9">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D43348" w14:textId="77777777" w:rsidR="00765B64" w:rsidRPr="00765B64" w:rsidRDefault="00765B64" w:rsidP="00765B64">
            <w:pPr>
              <w:pStyle w:val="TableRow"/>
              <w:rPr>
                <w:rFonts w:asciiTheme="minorHAnsi" w:hAnsiTheme="minorHAnsi" w:cstheme="minorHAnsi"/>
                <w:sz w:val="20"/>
                <w:szCs w:val="20"/>
              </w:rPr>
            </w:pPr>
            <w:r w:rsidRPr="00765B64">
              <w:rPr>
                <w:rFonts w:asciiTheme="minorHAnsi" w:hAnsiTheme="minorHAnsi" w:cstheme="minorHAnsi"/>
                <w:sz w:val="20"/>
                <w:szCs w:val="20"/>
              </w:rPr>
              <w:t>Whole school reading age testing (NGRT)</w:t>
            </w:r>
          </w:p>
          <w:p w14:paraId="41C00F1F" w14:textId="77777777" w:rsidR="00765B64" w:rsidRPr="00765B64" w:rsidRDefault="00765B64" w:rsidP="00765B64">
            <w:pPr>
              <w:pStyle w:val="TableRow"/>
              <w:rPr>
                <w:rFonts w:asciiTheme="minorHAnsi" w:hAnsiTheme="minorHAnsi" w:cstheme="minorHAnsi"/>
                <w:sz w:val="20"/>
                <w:szCs w:val="20"/>
              </w:rPr>
            </w:pPr>
          </w:p>
          <w:p w14:paraId="0010FA6C" w14:textId="77777777" w:rsidR="00765B64" w:rsidRPr="00765B64" w:rsidRDefault="00765B64" w:rsidP="00765B64">
            <w:pPr>
              <w:pStyle w:val="TableRow"/>
              <w:rPr>
                <w:rFonts w:asciiTheme="minorHAnsi" w:hAnsiTheme="minorHAnsi" w:cstheme="minorHAnsi"/>
                <w:sz w:val="20"/>
                <w:szCs w:val="20"/>
              </w:rPr>
            </w:pPr>
            <w:r w:rsidRPr="00765B64">
              <w:rPr>
                <w:rFonts w:asciiTheme="minorHAnsi" w:hAnsiTheme="minorHAnsi" w:cstheme="minorHAnsi"/>
                <w:sz w:val="20"/>
                <w:szCs w:val="20"/>
              </w:rPr>
              <w:t>Testing analysis and intervention groupings</w:t>
            </w:r>
          </w:p>
          <w:p w14:paraId="2663B2C4" w14:textId="77777777" w:rsidR="00765B64" w:rsidRPr="00765B64" w:rsidRDefault="00765B64" w:rsidP="00765B64">
            <w:pPr>
              <w:pStyle w:val="TableRow"/>
              <w:rPr>
                <w:rFonts w:asciiTheme="minorHAnsi" w:hAnsiTheme="minorHAnsi" w:cstheme="minorHAnsi"/>
                <w:sz w:val="20"/>
                <w:szCs w:val="20"/>
              </w:rPr>
            </w:pPr>
          </w:p>
          <w:p w14:paraId="59CDBF27" w14:textId="77777777" w:rsidR="00765B64" w:rsidRPr="00765B64" w:rsidRDefault="00765B64" w:rsidP="00765B64">
            <w:pPr>
              <w:pStyle w:val="TableRow"/>
              <w:rPr>
                <w:rFonts w:asciiTheme="minorHAnsi" w:hAnsiTheme="minorHAnsi" w:cstheme="minorHAnsi"/>
                <w:sz w:val="20"/>
                <w:szCs w:val="20"/>
              </w:rPr>
            </w:pPr>
            <w:r w:rsidRPr="00765B64">
              <w:rPr>
                <w:rFonts w:asciiTheme="minorHAnsi" w:hAnsiTheme="minorHAnsi" w:cstheme="minorHAnsi"/>
                <w:sz w:val="20"/>
                <w:szCs w:val="20"/>
              </w:rPr>
              <w:t>Key staff employed and trained to deliver reading intervention</w:t>
            </w:r>
          </w:p>
          <w:p w14:paraId="452B1A41" w14:textId="77777777" w:rsidR="00765B64" w:rsidRPr="00765B64" w:rsidRDefault="00765B64" w:rsidP="00765B64">
            <w:pPr>
              <w:pStyle w:val="TableRow"/>
              <w:rPr>
                <w:rFonts w:asciiTheme="minorHAnsi" w:hAnsiTheme="minorHAnsi" w:cstheme="minorHAnsi"/>
                <w:sz w:val="20"/>
                <w:szCs w:val="20"/>
              </w:rPr>
            </w:pPr>
          </w:p>
          <w:p w14:paraId="219AF659" w14:textId="77777777" w:rsidR="00765B64" w:rsidRPr="00765B64" w:rsidRDefault="00765B64" w:rsidP="00765B64">
            <w:pPr>
              <w:pStyle w:val="TableRow"/>
              <w:rPr>
                <w:rFonts w:asciiTheme="minorHAnsi" w:hAnsiTheme="minorHAnsi" w:cstheme="minorHAnsi"/>
                <w:sz w:val="20"/>
                <w:szCs w:val="20"/>
              </w:rPr>
            </w:pPr>
            <w:r w:rsidRPr="00765B64">
              <w:rPr>
                <w:rFonts w:asciiTheme="minorHAnsi" w:hAnsiTheme="minorHAnsi" w:cstheme="minorHAnsi"/>
                <w:sz w:val="20"/>
                <w:szCs w:val="20"/>
              </w:rPr>
              <w:t>Delivery of phonics based interventions, using the lexonic leap and advance programmes. Phonics interventions for those students identified with a standardised reading score (NGRT) below 90</w:t>
            </w:r>
          </w:p>
          <w:p w14:paraId="2A7D552D" w14:textId="75C0E29E" w:rsidR="00765B64" w:rsidRPr="00C10153" w:rsidRDefault="00765B64" w:rsidP="00765B64">
            <w:pPr>
              <w:pStyle w:val="TableRow"/>
              <w:rPr>
                <w:rFonts w:asciiTheme="minorHAnsi" w:hAnsiTheme="minorHAnsi" w:cstheme="minorHAnsi"/>
                <w:sz w:val="20"/>
                <w:szCs w:val="20"/>
              </w:rPr>
            </w:pP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FAD33" w14:textId="1EB712F2" w:rsidR="00765B64" w:rsidRPr="00765B64" w:rsidRDefault="00765B64" w:rsidP="00765B64">
            <w:pPr>
              <w:pStyle w:val="TableRow"/>
              <w:ind w:left="0"/>
              <w:rPr>
                <w:rFonts w:asciiTheme="minorHAnsi" w:hAnsiTheme="minorHAnsi" w:cstheme="minorHAnsi"/>
                <w:sz w:val="20"/>
                <w:szCs w:val="20"/>
              </w:rPr>
            </w:pPr>
            <w:r w:rsidRPr="00765B64">
              <w:rPr>
                <w:rFonts w:asciiTheme="minorHAnsi" w:hAnsiTheme="minorHAnsi" w:cstheme="minorHAnsi"/>
                <w:sz w:val="20"/>
                <w:szCs w:val="20"/>
              </w:rPr>
              <w:t>EEF – Reading comprehension approaches can lead to an additional 6 months progress across the year. These must be carefully combined with phonics and oral language approaches. Approaches must be used across the curriculum for maximum impact. Careful diagnosis of the reasons why an individual pupil is struggling should guide the choice of intervention. It is important to provide appropriate context to practice the skills, desire to engage with the text and enough challenge to improve reading comprehension.</w:t>
            </w:r>
          </w:p>
          <w:p w14:paraId="1A82F8FE" w14:textId="294A33EF" w:rsidR="00765B64" w:rsidRPr="00765B64" w:rsidRDefault="00765B64" w:rsidP="00765B64">
            <w:pPr>
              <w:pStyle w:val="TableRow"/>
              <w:rPr>
                <w:rFonts w:asciiTheme="minorHAnsi" w:hAnsiTheme="minorHAnsi" w:cstheme="minorHAnsi"/>
                <w:sz w:val="20"/>
                <w:szCs w:val="20"/>
              </w:rPr>
            </w:pPr>
            <w:r w:rsidRPr="00765B64">
              <w:rPr>
                <w:rFonts w:asciiTheme="minorHAnsi" w:hAnsiTheme="minorHAnsi" w:cstheme="minorHAnsi"/>
                <w:sz w:val="20"/>
                <w:szCs w:val="20"/>
              </w:rPr>
              <w:t>Effective diagnosis of reading difficulties is important in identifying possible solutions, particularly for older struggling readers. Pupils can struggle with decoding words, understanding the structure of the language used, or understanding particular vocabulary, which may be subject-specific. Phonics has a positive impact (+ 5 months) with extensive evidence that it is an important component in the development of early reading</w:t>
            </w:r>
          </w:p>
          <w:p w14:paraId="7DD6647B" w14:textId="3645A7FC" w:rsidR="00765B64" w:rsidRPr="00765B64" w:rsidRDefault="00765B64" w:rsidP="00765B64">
            <w:pPr>
              <w:pStyle w:val="TableRow"/>
              <w:rPr>
                <w:rFonts w:asciiTheme="minorHAnsi" w:hAnsiTheme="minorHAnsi" w:cstheme="minorHAnsi"/>
                <w:sz w:val="20"/>
                <w:szCs w:val="20"/>
              </w:rPr>
            </w:pPr>
            <w:r w:rsidRPr="00765B64">
              <w:rPr>
                <w:rFonts w:asciiTheme="minorHAnsi" w:hAnsiTheme="minorHAnsi" w:cstheme="minorHAnsi"/>
                <w:sz w:val="20"/>
                <w:szCs w:val="20"/>
              </w:rPr>
              <w:t>A wide range of strategies and approaches can be successful, but for many pupils they need to be taught explicitly and consistently.</w:t>
            </w:r>
            <w:r>
              <w:rPr>
                <w:rFonts w:asciiTheme="minorHAnsi" w:hAnsiTheme="minorHAnsi" w:cstheme="minorHAnsi"/>
                <w:sz w:val="20"/>
                <w:szCs w:val="20"/>
              </w:rPr>
              <w:t xml:space="preserve"> </w:t>
            </w:r>
            <w:r w:rsidRPr="00765B64">
              <w:rPr>
                <w:rFonts w:asciiTheme="minorHAnsi" w:hAnsiTheme="minorHAnsi" w:cstheme="minorHAnsi"/>
                <w:sz w:val="20"/>
                <w:szCs w:val="20"/>
              </w:rPr>
              <w:t>It is crucial to support pupils to apply the comprehension strategies independently to other reading tasks, contexts and subjects.</w:t>
            </w:r>
          </w:p>
          <w:p w14:paraId="2A7D552E" w14:textId="705E8D73" w:rsidR="00765B64" w:rsidRPr="00C10153" w:rsidRDefault="00765B64" w:rsidP="00765B64">
            <w:pPr>
              <w:pStyle w:val="TableRowCentered"/>
              <w:ind w:left="0"/>
              <w:jc w:val="left"/>
              <w:rPr>
                <w:rFonts w:asciiTheme="minorHAnsi" w:hAnsiTheme="minorHAnsi" w:cstheme="minorHAnsi"/>
                <w:sz w:val="20"/>
              </w:rPr>
            </w:pPr>
          </w:p>
        </w:tc>
        <w:tc>
          <w:tcPr>
            <w:tcW w:w="2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2F" w14:textId="21686BBC" w:rsidR="00765B64" w:rsidRPr="00C10153" w:rsidRDefault="00765B64" w:rsidP="00765B64">
            <w:pPr>
              <w:pStyle w:val="TableRowCentered"/>
              <w:jc w:val="left"/>
              <w:rPr>
                <w:rFonts w:asciiTheme="minorHAnsi" w:hAnsiTheme="minorHAnsi" w:cstheme="minorHAnsi"/>
                <w:sz w:val="20"/>
              </w:rPr>
            </w:pPr>
            <w:r w:rsidRPr="00C10153">
              <w:rPr>
                <w:rFonts w:asciiTheme="minorHAnsi" w:hAnsiTheme="minorHAnsi" w:cstheme="minorHAnsi"/>
                <w:sz w:val="20"/>
              </w:rPr>
              <w:t>1</w:t>
            </w:r>
            <w:r>
              <w:rPr>
                <w:rFonts w:asciiTheme="minorHAnsi" w:hAnsiTheme="minorHAnsi" w:cstheme="minorHAnsi"/>
                <w:sz w:val="20"/>
              </w:rPr>
              <w:t>, 2, 4, 5</w:t>
            </w:r>
          </w:p>
        </w:tc>
      </w:tr>
      <w:tr w:rsidR="00765B64" w:rsidRPr="00C10153" w14:paraId="5A2E1A80" w14:textId="77777777" w:rsidTr="009355B9">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1CA3D" w14:textId="13184BE1" w:rsidR="00765B64" w:rsidRPr="00C10153" w:rsidRDefault="00765B64" w:rsidP="00765B64">
            <w:pPr>
              <w:pStyle w:val="TableRow"/>
              <w:rPr>
                <w:rFonts w:asciiTheme="minorHAnsi" w:hAnsiTheme="minorHAnsi" w:cstheme="minorHAnsi"/>
                <w:sz w:val="20"/>
                <w:szCs w:val="20"/>
              </w:rPr>
            </w:pPr>
            <w:r w:rsidRPr="00C10153">
              <w:rPr>
                <w:rFonts w:asciiTheme="minorHAnsi" w:hAnsiTheme="minorHAnsi" w:cstheme="minorHAnsi"/>
                <w:sz w:val="20"/>
                <w:szCs w:val="20"/>
              </w:rPr>
              <w:t>Learning support assistants employed  to deliver targeted interventions: To include</w:t>
            </w:r>
          </w:p>
          <w:p w14:paraId="45E45E32" w14:textId="77777777" w:rsidR="00765B64" w:rsidRPr="00C10153" w:rsidRDefault="00765B64" w:rsidP="00765B64">
            <w:pPr>
              <w:pStyle w:val="TableRow"/>
              <w:rPr>
                <w:rFonts w:asciiTheme="minorHAnsi" w:hAnsiTheme="minorHAnsi" w:cstheme="minorHAnsi"/>
                <w:sz w:val="20"/>
                <w:szCs w:val="20"/>
              </w:rPr>
            </w:pPr>
          </w:p>
          <w:p w14:paraId="33698B83" w14:textId="77777777" w:rsidR="00765B64" w:rsidRPr="00C10153" w:rsidRDefault="00765B64" w:rsidP="00765B64">
            <w:pPr>
              <w:pStyle w:val="TableRow"/>
              <w:ind w:left="0"/>
              <w:rPr>
                <w:rFonts w:asciiTheme="minorHAnsi" w:hAnsiTheme="minorHAnsi" w:cstheme="minorHAnsi"/>
                <w:sz w:val="20"/>
                <w:szCs w:val="20"/>
              </w:rPr>
            </w:pPr>
            <w:r w:rsidRPr="00C10153">
              <w:rPr>
                <w:rFonts w:asciiTheme="minorHAnsi" w:hAnsiTheme="minorHAnsi" w:cstheme="minorHAnsi"/>
                <w:sz w:val="20"/>
                <w:szCs w:val="20"/>
              </w:rPr>
              <w:t>Handwriting interventions</w:t>
            </w:r>
          </w:p>
          <w:p w14:paraId="1954FF2B" w14:textId="51426740" w:rsidR="00765B64" w:rsidRPr="00C10153" w:rsidRDefault="00765B64" w:rsidP="00765B64">
            <w:pPr>
              <w:pStyle w:val="TableRow"/>
              <w:ind w:left="0"/>
              <w:rPr>
                <w:rFonts w:asciiTheme="minorHAnsi" w:hAnsiTheme="minorHAnsi" w:cstheme="minorHAnsi"/>
                <w:sz w:val="20"/>
                <w:szCs w:val="20"/>
              </w:rPr>
            </w:pPr>
            <w:r w:rsidRPr="00C10153">
              <w:rPr>
                <w:rFonts w:asciiTheme="minorHAnsi" w:hAnsiTheme="minorHAnsi" w:cstheme="minorHAnsi"/>
                <w:sz w:val="20"/>
                <w:szCs w:val="20"/>
              </w:rPr>
              <w:t>Literacy interventions</w:t>
            </w:r>
          </w:p>
          <w:p w14:paraId="025745C9" w14:textId="61B668C4" w:rsidR="00765B64" w:rsidRPr="00C10153" w:rsidRDefault="00765B64" w:rsidP="00765B64">
            <w:pPr>
              <w:pStyle w:val="TableRow"/>
              <w:ind w:left="0"/>
              <w:rPr>
                <w:rFonts w:asciiTheme="minorHAnsi" w:hAnsiTheme="minorHAnsi" w:cstheme="minorHAnsi"/>
                <w:sz w:val="20"/>
                <w:szCs w:val="20"/>
              </w:rPr>
            </w:pPr>
            <w:r w:rsidRPr="00C10153">
              <w:rPr>
                <w:rFonts w:asciiTheme="minorHAnsi" w:hAnsiTheme="minorHAnsi" w:cstheme="minorHAnsi"/>
                <w:sz w:val="20"/>
                <w:szCs w:val="20"/>
              </w:rPr>
              <w:t xml:space="preserve">Numeracy interventions </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CEDD5" w14:textId="5990D5C5" w:rsidR="00765B64" w:rsidRPr="00C10153" w:rsidRDefault="00765B64" w:rsidP="00765B64">
            <w:pPr>
              <w:pStyle w:val="TableRowCentered"/>
              <w:jc w:val="left"/>
              <w:rPr>
                <w:rFonts w:asciiTheme="minorHAnsi" w:hAnsiTheme="minorHAnsi" w:cstheme="minorHAnsi"/>
                <w:sz w:val="20"/>
              </w:rPr>
            </w:pPr>
            <w:r w:rsidRPr="00C10153">
              <w:rPr>
                <w:rFonts w:asciiTheme="minorHAnsi" w:hAnsiTheme="minorHAnsi" w:cstheme="minorHAnsi"/>
                <w:sz w:val="20"/>
              </w:rPr>
              <w:t>This approach involves a learning support assistant providing additional or intensive support to small groups or individual pupils in a particular area of the curriculum. Teaching assistants must have additional training and support to deliver the interventions. The impact of this is typically much higher than deployment in everyday classroom environments. EEF average progress + 5 months.</w:t>
            </w:r>
          </w:p>
        </w:tc>
        <w:tc>
          <w:tcPr>
            <w:tcW w:w="2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CFEF8" w14:textId="3697512B" w:rsidR="00765B64" w:rsidRPr="00C10153" w:rsidRDefault="00765B64" w:rsidP="00765B64">
            <w:pPr>
              <w:pStyle w:val="TableRowCentered"/>
              <w:jc w:val="left"/>
              <w:rPr>
                <w:rFonts w:asciiTheme="minorHAnsi" w:hAnsiTheme="minorHAnsi" w:cstheme="minorHAnsi"/>
                <w:sz w:val="20"/>
              </w:rPr>
            </w:pPr>
            <w:r w:rsidRPr="00C10153">
              <w:rPr>
                <w:rFonts w:asciiTheme="minorHAnsi" w:hAnsiTheme="minorHAnsi" w:cstheme="minorHAnsi"/>
                <w:sz w:val="20"/>
              </w:rPr>
              <w:t>4</w:t>
            </w:r>
          </w:p>
        </w:tc>
      </w:tr>
    </w:tbl>
    <w:p w14:paraId="2A7D5531" w14:textId="77777777" w:rsidR="00E66558" w:rsidRDefault="00E66558">
      <w:pPr>
        <w:spacing w:after="0"/>
        <w:rPr>
          <w:b/>
          <w:color w:val="104F75"/>
          <w:sz w:val="28"/>
          <w:szCs w:val="28"/>
        </w:rPr>
      </w:pPr>
    </w:p>
    <w:p w14:paraId="2A7D5532" w14:textId="59A68BC3" w:rsidR="00E66558" w:rsidRPr="009851BF" w:rsidRDefault="009D71E8">
      <w:pPr>
        <w:rPr>
          <w:rFonts w:asciiTheme="minorHAnsi" w:hAnsiTheme="minorHAnsi" w:cstheme="minorHAnsi"/>
          <w:b/>
          <w:color w:val="104F75"/>
        </w:rPr>
      </w:pPr>
      <w:r w:rsidRPr="009851BF">
        <w:rPr>
          <w:rFonts w:asciiTheme="minorHAnsi" w:hAnsiTheme="minorHAnsi" w:cstheme="minorHAnsi"/>
          <w:b/>
          <w:color w:val="104F75"/>
        </w:rPr>
        <w:t>Wider strategies (for example, related to attendance, behaviour, wellbeing)</w:t>
      </w:r>
    </w:p>
    <w:p w14:paraId="2A7D5533" w14:textId="0255954F" w:rsidR="00E66558" w:rsidRPr="009851BF" w:rsidRDefault="009D71E8">
      <w:pPr>
        <w:spacing w:before="240" w:after="120"/>
        <w:rPr>
          <w:rFonts w:asciiTheme="minorHAnsi" w:hAnsiTheme="minorHAnsi" w:cstheme="minorHAnsi"/>
        </w:rPr>
      </w:pPr>
      <w:r w:rsidRPr="009851BF">
        <w:rPr>
          <w:rFonts w:asciiTheme="minorHAnsi" w:hAnsiTheme="minorHAnsi" w:cstheme="minorHAnsi"/>
        </w:rPr>
        <w:t xml:space="preserve">Budgeted cost: £ </w:t>
      </w:r>
      <w:r w:rsidR="00765B64">
        <w:rPr>
          <w:rFonts w:asciiTheme="minorHAnsi" w:hAnsiTheme="minorHAnsi" w:cstheme="minorHAnsi"/>
          <w:iCs/>
        </w:rPr>
        <w:t>239</w:t>
      </w:r>
      <w:r w:rsidR="007F4BC6" w:rsidRPr="009851BF">
        <w:rPr>
          <w:rFonts w:asciiTheme="minorHAnsi" w:hAnsiTheme="minorHAnsi" w:cstheme="minorHAnsi"/>
          <w:iCs/>
        </w:rPr>
        <w:t xml:space="preserve"> 967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43"/>
        <w:gridCol w:w="4336"/>
        <w:gridCol w:w="2507"/>
      </w:tblGrid>
      <w:tr w:rsidR="006A58DC" w14:paraId="2A7D5537" w14:textId="77777777" w:rsidTr="00C13A40">
        <w:tc>
          <w:tcPr>
            <w:tcW w:w="2688"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C13A40">
        <w:tc>
          <w:tcPr>
            <w:tcW w:w="2688" w:type="dxa"/>
            <w:tcBorders>
              <w:top w:val="single" w:sz="4" w:space="0" w:color="auto"/>
            </w:tcBorders>
            <w:shd w:val="clear" w:color="auto" w:fill="auto"/>
            <w:tcMar>
              <w:top w:w="0" w:type="dxa"/>
              <w:left w:w="108" w:type="dxa"/>
              <w:bottom w:w="0" w:type="dxa"/>
              <w:right w:w="108" w:type="dxa"/>
            </w:tcMar>
          </w:tcPr>
          <w:p w14:paraId="2A7D5538" w14:textId="360ABB01" w:rsidR="00E66558" w:rsidRPr="00C10153" w:rsidRDefault="00577806">
            <w:pPr>
              <w:pStyle w:val="TableRow"/>
              <w:rPr>
                <w:rFonts w:asciiTheme="minorHAnsi" w:hAnsiTheme="minorHAnsi" w:cstheme="minorHAnsi"/>
                <w:sz w:val="20"/>
                <w:szCs w:val="20"/>
              </w:rPr>
            </w:pPr>
            <w:r w:rsidRPr="00C10153">
              <w:rPr>
                <w:rFonts w:asciiTheme="minorHAnsi" w:hAnsiTheme="minorHAnsi" w:cstheme="minorHAnsi"/>
                <w:iCs/>
                <w:sz w:val="20"/>
                <w:szCs w:val="20"/>
              </w:rPr>
              <w:t xml:space="preserve">Attendance officers </w:t>
            </w:r>
            <w:r w:rsidR="009851BF">
              <w:rPr>
                <w:rFonts w:asciiTheme="minorHAnsi" w:hAnsiTheme="minorHAnsi" w:cstheme="minorHAnsi"/>
                <w:iCs/>
                <w:sz w:val="20"/>
                <w:szCs w:val="20"/>
              </w:rPr>
              <w:t xml:space="preserve">to work on strategies outlined in working together to improve school attendance. </w:t>
            </w:r>
          </w:p>
        </w:tc>
        <w:tc>
          <w:tcPr>
            <w:tcW w:w="4254" w:type="dxa"/>
            <w:tcBorders>
              <w:top w:val="single" w:sz="4" w:space="0" w:color="auto"/>
            </w:tcBorders>
            <w:shd w:val="clear" w:color="auto" w:fill="auto"/>
            <w:tcMar>
              <w:top w:w="0" w:type="dxa"/>
              <w:left w:w="108" w:type="dxa"/>
              <w:bottom w:w="0" w:type="dxa"/>
              <w:right w:w="108" w:type="dxa"/>
            </w:tcMar>
          </w:tcPr>
          <w:p w14:paraId="2A7D5539" w14:textId="47FBFE0D" w:rsidR="00E66558" w:rsidRPr="009851BF" w:rsidRDefault="00970510" w:rsidP="00DE6FBB">
            <w:pPr>
              <w:pStyle w:val="TableRowCentered"/>
              <w:jc w:val="left"/>
              <w:rPr>
                <w:rFonts w:asciiTheme="minorHAnsi" w:hAnsiTheme="minorHAnsi" w:cstheme="minorHAnsi"/>
                <w:sz w:val="20"/>
              </w:rPr>
            </w:pPr>
            <w:hyperlink r:id="rId14" w:history="1">
              <w:r w:rsidR="009851BF" w:rsidRPr="009851BF">
                <w:rPr>
                  <w:rFonts w:asciiTheme="minorHAnsi" w:hAnsiTheme="minorHAnsi" w:cstheme="minorHAnsi"/>
                  <w:color w:val="0000FF"/>
                  <w:sz w:val="20"/>
                  <w:u w:val="single"/>
                </w:rPr>
                <w:t>Working together to improve school attendance (publishing.service.gov.uk)</w:t>
              </w:r>
            </w:hyperlink>
            <w:r w:rsidR="009851BF" w:rsidRPr="009851BF">
              <w:rPr>
                <w:rFonts w:asciiTheme="minorHAnsi" w:hAnsiTheme="minorHAnsi" w:cstheme="minorHAnsi"/>
                <w:sz w:val="20"/>
              </w:rPr>
              <w:t xml:space="preserve"> </w:t>
            </w:r>
          </w:p>
        </w:tc>
        <w:tc>
          <w:tcPr>
            <w:tcW w:w="2544" w:type="dxa"/>
            <w:tcBorders>
              <w:top w:val="single" w:sz="4" w:space="0" w:color="auto"/>
            </w:tcBorders>
            <w:shd w:val="clear" w:color="auto" w:fill="auto"/>
            <w:tcMar>
              <w:top w:w="0" w:type="dxa"/>
              <w:left w:w="108" w:type="dxa"/>
              <w:bottom w:w="0" w:type="dxa"/>
              <w:right w:w="108" w:type="dxa"/>
            </w:tcMar>
          </w:tcPr>
          <w:p w14:paraId="2A7D553A" w14:textId="3DFDA06E" w:rsidR="00E66558" w:rsidRPr="009851BF" w:rsidRDefault="00C042FB">
            <w:pPr>
              <w:pStyle w:val="TableRowCentered"/>
              <w:jc w:val="left"/>
              <w:rPr>
                <w:rFonts w:asciiTheme="minorHAnsi" w:hAnsiTheme="minorHAnsi" w:cstheme="minorHAnsi"/>
                <w:sz w:val="20"/>
              </w:rPr>
            </w:pPr>
            <w:r w:rsidRPr="009851BF">
              <w:rPr>
                <w:rFonts w:asciiTheme="minorHAnsi" w:hAnsiTheme="minorHAnsi" w:cstheme="minorHAnsi"/>
                <w:sz w:val="20"/>
              </w:rPr>
              <w:t>3</w:t>
            </w:r>
          </w:p>
        </w:tc>
      </w:tr>
      <w:tr w:rsidR="00677C6A" w14:paraId="4DD4ACA5" w14:textId="77777777" w:rsidTr="00C042FB">
        <w:tc>
          <w:tcPr>
            <w:tcW w:w="2688" w:type="dxa"/>
            <w:shd w:val="clear" w:color="auto" w:fill="auto"/>
            <w:tcMar>
              <w:top w:w="0" w:type="dxa"/>
              <w:left w:w="108" w:type="dxa"/>
              <w:bottom w:w="0" w:type="dxa"/>
              <w:right w:w="108" w:type="dxa"/>
            </w:tcMar>
          </w:tcPr>
          <w:p w14:paraId="43924E67" w14:textId="77777777" w:rsidR="00677C6A" w:rsidRPr="00C10153" w:rsidRDefault="00677C6A" w:rsidP="00677C6A">
            <w:pPr>
              <w:pStyle w:val="TableRow"/>
              <w:rPr>
                <w:rFonts w:asciiTheme="minorHAnsi" w:hAnsiTheme="minorHAnsi" w:cstheme="minorHAnsi"/>
                <w:iCs/>
                <w:sz w:val="20"/>
                <w:szCs w:val="20"/>
              </w:rPr>
            </w:pPr>
            <w:r w:rsidRPr="00C10153">
              <w:rPr>
                <w:rFonts w:asciiTheme="minorHAnsi" w:hAnsiTheme="minorHAnsi" w:cstheme="minorHAnsi"/>
                <w:iCs/>
                <w:sz w:val="20"/>
                <w:szCs w:val="20"/>
              </w:rPr>
              <w:t>Safeguarding officers</w:t>
            </w:r>
          </w:p>
          <w:p w14:paraId="55941A8F" w14:textId="21B7221C" w:rsidR="00677C6A" w:rsidRPr="00C10153" w:rsidRDefault="00677C6A" w:rsidP="00677C6A">
            <w:pPr>
              <w:pStyle w:val="TableRow"/>
              <w:ind w:left="0"/>
              <w:rPr>
                <w:rFonts w:asciiTheme="minorHAnsi" w:hAnsiTheme="minorHAnsi" w:cstheme="minorHAnsi"/>
                <w:iCs/>
                <w:sz w:val="20"/>
                <w:szCs w:val="20"/>
              </w:rPr>
            </w:pPr>
          </w:p>
        </w:tc>
        <w:tc>
          <w:tcPr>
            <w:tcW w:w="4254" w:type="dxa"/>
            <w:shd w:val="clear" w:color="auto" w:fill="auto"/>
            <w:tcMar>
              <w:top w:w="0" w:type="dxa"/>
              <w:left w:w="108" w:type="dxa"/>
              <w:bottom w:w="0" w:type="dxa"/>
              <w:right w:w="108" w:type="dxa"/>
            </w:tcMar>
          </w:tcPr>
          <w:p w14:paraId="2DCBD3B7" w14:textId="1DD4E025" w:rsidR="00677C6A" w:rsidRPr="00C10153" w:rsidRDefault="00DE6FBB">
            <w:pPr>
              <w:pStyle w:val="TableRowCentered"/>
              <w:jc w:val="left"/>
              <w:rPr>
                <w:rFonts w:asciiTheme="minorHAnsi" w:hAnsiTheme="minorHAnsi" w:cstheme="minorHAnsi"/>
                <w:sz w:val="20"/>
              </w:rPr>
            </w:pPr>
            <w:r w:rsidRPr="00C10153">
              <w:rPr>
                <w:rFonts w:asciiTheme="minorHAnsi" w:hAnsiTheme="minorHAnsi" w:cstheme="minorHAnsi"/>
                <w:sz w:val="20"/>
              </w:rPr>
              <w:t>Safeguarding officers form part of the approach to identifying and removing individual barriers to attendance, attainment and progress.</w:t>
            </w:r>
          </w:p>
        </w:tc>
        <w:tc>
          <w:tcPr>
            <w:tcW w:w="2544" w:type="dxa"/>
            <w:shd w:val="clear" w:color="auto" w:fill="auto"/>
            <w:tcMar>
              <w:top w:w="0" w:type="dxa"/>
              <w:left w:w="108" w:type="dxa"/>
              <w:bottom w:w="0" w:type="dxa"/>
              <w:right w:w="108" w:type="dxa"/>
            </w:tcMar>
          </w:tcPr>
          <w:p w14:paraId="7F85DF4E" w14:textId="4302FCA9" w:rsidR="00677C6A" w:rsidRPr="009851BF" w:rsidRDefault="00DE6FBB">
            <w:pPr>
              <w:pStyle w:val="TableRowCentered"/>
              <w:jc w:val="left"/>
              <w:rPr>
                <w:rFonts w:asciiTheme="minorHAnsi" w:hAnsiTheme="minorHAnsi" w:cstheme="minorHAnsi"/>
                <w:sz w:val="20"/>
              </w:rPr>
            </w:pPr>
            <w:r w:rsidRPr="009851BF">
              <w:rPr>
                <w:rFonts w:asciiTheme="minorHAnsi" w:hAnsiTheme="minorHAnsi" w:cstheme="minorHAnsi"/>
                <w:sz w:val="20"/>
              </w:rPr>
              <w:t>3, 4</w:t>
            </w:r>
            <w:r w:rsidR="00AA74F8" w:rsidRPr="009851BF">
              <w:rPr>
                <w:rFonts w:asciiTheme="minorHAnsi" w:hAnsiTheme="minorHAnsi" w:cstheme="minorHAnsi"/>
                <w:sz w:val="20"/>
              </w:rPr>
              <w:t>, 5</w:t>
            </w:r>
          </w:p>
        </w:tc>
      </w:tr>
      <w:tr w:rsidR="00E66558" w14:paraId="2A7D553F" w14:textId="77777777" w:rsidTr="00C042FB">
        <w:tc>
          <w:tcPr>
            <w:tcW w:w="2688" w:type="dxa"/>
            <w:shd w:val="clear" w:color="auto" w:fill="auto"/>
            <w:tcMar>
              <w:top w:w="0" w:type="dxa"/>
              <w:left w:w="108" w:type="dxa"/>
              <w:bottom w:w="0" w:type="dxa"/>
              <w:right w:w="108" w:type="dxa"/>
            </w:tcMar>
          </w:tcPr>
          <w:p w14:paraId="31004EE8" w14:textId="77777777" w:rsidR="00E66558" w:rsidRPr="00C10153" w:rsidRDefault="00C042FB">
            <w:pPr>
              <w:pStyle w:val="TableRow"/>
              <w:rPr>
                <w:rFonts w:asciiTheme="minorHAnsi" w:hAnsiTheme="minorHAnsi" w:cstheme="minorHAnsi"/>
                <w:sz w:val="20"/>
                <w:szCs w:val="20"/>
              </w:rPr>
            </w:pPr>
            <w:r w:rsidRPr="00C10153">
              <w:rPr>
                <w:rFonts w:asciiTheme="minorHAnsi" w:hAnsiTheme="minorHAnsi" w:cstheme="minorHAnsi"/>
                <w:sz w:val="20"/>
                <w:szCs w:val="20"/>
              </w:rPr>
              <w:t>Pastoral interventions</w:t>
            </w:r>
            <w:r w:rsidR="0059186E" w:rsidRPr="00C10153">
              <w:rPr>
                <w:rFonts w:asciiTheme="minorHAnsi" w:hAnsiTheme="minorHAnsi" w:cstheme="minorHAnsi"/>
                <w:sz w:val="20"/>
                <w:szCs w:val="20"/>
              </w:rPr>
              <w:t xml:space="preserve">: </w:t>
            </w:r>
          </w:p>
          <w:p w14:paraId="363EC8EF" w14:textId="77777777" w:rsidR="0059186E" w:rsidRPr="00C10153" w:rsidRDefault="0059186E">
            <w:pPr>
              <w:pStyle w:val="TableRow"/>
              <w:rPr>
                <w:rFonts w:asciiTheme="minorHAnsi" w:hAnsiTheme="minorHAnsi" w:cstheme="minorHAnsi"/>
                <w:sz w:val="20"/>
                <w:szCs w:val="20"/>
              </w:rPr>
            </w:pPr>
          </w:p>
          <w:p w14:paraId="24FB7257" w14:textId="77777777" w:rsidR="0059186E" w:rsidRPr="00C10153" w:rsidRDefault="0059186E">
            <w:pPr>
              <w:pStyle w:val="TableRow"/>
              <w:rPr>
                <w:rFonts w:asciiTheme="minorHAnsi" w:hAnsiTheme="minorHAnsi" w:cstheme="minorHAnsi"/>
                <w:sz w:val="20"/>
                <w:szCs w:val="20"/>
              </w:rPr>
            </w:pPr>
            <w:r w:rsidRPr="00C10153">
              <w:rPr>
                <w:rFonts w:asciiTheme="minorHAnsi" w:hAnsiTheme="minorHAnsi" w:cstheme="minorHAnsi"/>
                <w:sz w:val="20"/>
                <w:szCs w:val="20"/>
              </w:rPr>
              <w:t>To include:</w:t>
            </w:r>
          </w:p>
          <w:p w14:paraId="02EBDC5C" w14:textId="77777777" w:rsidR="0059186E" w:rsidRPr="00C10153" w:rsidRDefault="0059186E">
            <w:pPr>
              <w:pStyle w:val="TableRow"/>
              <w:rPr>
                <w:rFonts w:asciiTheme="minorHAnsi" w:hAnsiTheme="minorHAnsi" w:cstheme="minorHAnsi"/>
                <w:sz w:val="20"/>
                <w:szCs w:val="20"/>
              </w:rPr>
            </w:pPr>
          </w:p>
          <w:p w14:paraId="3341737F" w14:textId="2381F91D" w:rsidR="0059186E" w:rsidRPr="00C10153" w:rsidRDefault="0059186E">
            <w:pPr>
              <w:pStyle w:val="TableRow"/>
              <w:rPr>
                <w:rFonts w:asciiTheme="minorHAnsi" w:hAnsiTheme="minorHAnsi" w:cstheme="minorHAnsi"/>
                <w:sz w:val="20"/>
                <w:szCs w:val="20"/>
              </w:rPr>
            </w:pPr>
            <w:r w:rsidRPr="00C10153">
              <w:rPr>
                <w:rFonts w:asciiTheme="minorHAnsi" w:hAnsiTheme="minorHAnsi" w:cstheme="minorHAnsi"/>
                <w:sz w:val="20"/>
                <w:szCs w:val="20"/>
              </w:rPr>
              <w:t xml:space="preserve">Targeted mentoring for students to improve engagement </w:t>
            </w:r>
          </w:p>
          <w:p w14:paraId="4C3E91B8" w14:textId="7501AB96" w:rsidR="00677C6A" w:rsidRPr="00C10153" w:rsidRDefault="00677C6A">
            <w:pPr>
              <w:pStyle w:val="TableRow"/>
              <w:rPr>
                <w:rFonts w:asciiTheme="minorHAnsi" w:hAnsiTheme="minorHAnsi" w:cstheme="minorHAnsi"/>
                <w:sz w:val="20"/>
                <w:szCs w:val="20"/>
              </w:rPr>
            </w:pPr>
          </w:p>
          <w:p w14:paraId="2A7D553C" w14:textId="1EB55F02" w:rsidR="0059186E" w:rsidRPr="00C10153" w:rsidRDefault="00677C6A" w:rsidP="009851BF">
            <w:pPr>
              <w:pStyle w:val="TableRow"/>
              <w:rPr>
                <w:rFonts w:asciiTheme="minorHAnsi" w:hAnsiTheme="minorHAnsi" w:cstheme="minorHAnsi"/>
                <w:sz w:val="20"/>
                <w:szCs w:val="20"/>
              </w:rPr>
            </w:pPr>
            <w:r w:rsidRPr="00C10153">
              <w:rPr>
                <w:rFonts w:asciiTheme="minorHAnsi" w:hAnsiTheme="minorHAnsi" w:cstheme="minorHAnsi"/>
                <w:sz w:val="20"/>
                <w:szCs w:val="20"/>
              </w:rPr>
              <w:t>Counselling service</w:t>
            </w:r>
          </w:p>
        </w:tc>
        <w:tc>
          <w:tcPr>
            <w:tcW w:w="4254" w:type="dxa"/>
            <w:shd w:val="clear" w:color="auto" w:fill="auto"/>
            <w:tcMar>
              <w:top w:w="0" w:type="dxa"/>
              <w:left w:w="108" w:type="dxa"/>
              <w:bottom w:w="0" w:type="dxa"/>
              <w:right w:w="108" w:type="dxa"/>
            </w:tcMar>
          </w:tcPr>
          <w:p w14:paraId="2A7D553D" w14:textId="1DC4B483" w:rsidR="00E66558" w:rsidRPr="00C10153" w:rsidRDefault="00C042FB" w:rsidP="00C042FB">
            <w:pPr>
              <w:pStyle w:val="TableRowCentered"/>
              <w:jc w:val="left"/>
              <w:rPr>
                <w:rFonts w:asciiTheme="minorHAnsi" w:hAnsiTheme="minorHAnsi" w:cstheme="minorHAnsi"/>
                <w:sz w:val="20"/>
              </w:rPr>
            </w:pPr>
            <w:r w:rsidRPr="00C10153">
              <w:rPr>
                <w:rFonts w:asciiTheme="minorHAnsi" w:hAnsiTheme="minorHAnsi" w:cstheme="minorHAnsi"/>
                <w:sz w:val="20"/>
              </w:rPr>
              <w:t xml:space="preserve">There is evidence across a range of different interventions, with the highest impacts being seen within programmes that focus on self management or role play and rehearsal. EEF impact </w:t>
            </w:r>
            <w:r w:rsidR="006B5B25" w:rsidRPr="00C10153">
              <w:rPr>
                <w:rFonts w:asciiTheme="minorHAnsi" w:hAnsiTheme="minorHAnsi" w:cstheme="minorHAnsi"/>
                <w:sz w:val="20"/>
              </w:rPr>
              <w:t>+4</w:t>
            </w:r>
            <w:r w:rsidRPr="00C10153">
              <w:rPr>
                <w:rFonts w:asciiTheme="minorHAnsi" w:hAnsiTheme="minorHAnsi" w:cstheme="minorHAnsi"/>
                <w:sz w:val="20"/>
              </w:rPr>
              <w:t xml:space="preserve"> months.</w:t>
            </w:r>
          </w:p>
        </w:tc>
        <w:tc>
          <w:tcPr>
            <w:tcW w:w="2544" w:type="dxa"/>
            <w:shd w:val="clear" w:color="auto" w:fill="auto"/>
            <w:tcMar>
              <w:top w:w="0" w:type="dxa"/>
              <w:left w:w="108" w:type="dxa"/>
              <w:bottom w:w="0" w:type="dxa"/>
              <w:right w:w="108" w:type="dxa"/>
            </w:tcMar>
          </w:tcPr>
          <w:p w14:paraId="2A7D553E" w14:textId="17489C83" w:rsidR="00E66558" w:rsidRPr="009851BF" w:rsidRDefault="00AA74F8" w:rsidP="00677C6A">
            <w:pPr>
              <w:pStyle w:val="TableRowCentered"/>
              <w:jc w:val="left"/>
              <w:rPr>
                <w:rFonts w:asciiTheme="minorHAnsi" w:hAnsiTheme="minorHAnsi" w:cstheme="minorHAnsi"/>
                <w:sz w:val="20"/>
              </w:rPr>
            </w:pPr>
            <w:r w:rsidRPr="009851BF">
              <w:rPr>
                <w:rFonts w:asciiTheme="minorHAnsi" w:hAnsiTheme="minorHAnsi" w:cstheme="minorHAnsi"/>
                <w:sz w:val="20"/>
              </w:rPr>
              <w:t>3, 5</w:t>
            </w:r>
          </w:p>
        </w:tc>
      </w:tr>
      <w:tr w:rsidR="006A58DC" w14:paraId="41B7BA7C" w14:textId="77777777" w:rsidTr="00C042FB">
        <w:tc>
          <w:tcPr>
            <w:tcW w:w="2688" w:type="dxa"/>
            <w:shd w:val="clear" w:color="auto" w:fill="auto"/>
            <w:tcMar>
              <w:top w:w="0" w:type="dxa"/>
              <w:left w:w="108" w:type="dxa"/>
              <w:bottom w:w="0" w:type="dxa"/>
              <w:right w:w="108" w:type="dxa"/>
            </w:tcMar>
          </w:tcPr>
          <w:p w14:paraId="5CE7ED02" w14:textId="2FE76370" w:rsidR="006A58DC" w:rsidRPr="00C10153" w:rsidRDefault="006A58DC">
            <w:pPr>
              <w:pStyle w:val="TableRow"/>
              <w:rPr>
                <w:rFonts w:asciiTheme="minorHAnsi" w:hAnsiTheme="minorHAnsi" w:cstheme="minorHAnsi"/>
                <w:sz w:val="20"/>
                <w:szCs w:val="20"/>
              </w:rPr>
            </w:pPr>
            <w:r>
              <w:rPr>
                <w:rFonts w:asciiTheme="minorHAnsi" w:hAnsiTheme="minorHAnsi" w:cstheme="minorHAnsi"/>
                <w:sz w:val="20"/>
                <w:szCs w:val="20"/>
              </w:rPr>
              <w:t>Careers advisor to provide bespoke CEAIG to students in all year groups, with additional sessions, visits and interview support for those identified as at risk of becoming NEET</w:t>
            </w:r>
          </w:p>
        </w:tc>
        <w:tc>
          <w:tcPr>
            <w:tcW w:w="4254" w:type="dxa"/>
            <w:shd w:val="clear" w:color="auto" w:fill="auto"/>
            <w:tcMar>
              <w:top w:w="0" w:type="dxa"/>
              <w:left w:w="108" w:type="dxa"/>
              <w:bottom w:w="0" w:type="dxa"/>
              <w:right w:w="108" w:type="dxa"/>
            </w:tcMar>
          </w:tcPr>
          <w:p w14:paraId="28601403" w14:textId="21194B29" w:rsidR="006A58DC" w:rsidRDefault="00970510" w:rsidP="00C042FB">
            <w:pPr>
              <w:pStyle w:val="TableRowCentered"/>
              <w:jc w:val="left"/>
              <w:rPr>
                <w:rFonts w:asciiTheme="minorHAnsi" w:hAnsiTheme="minorHAnsi" w:cstheme="minorHAnsi"/>
                <w:sz w:val="20"/>
              </w:rPr>
            </w:pPr>
            <w:hyperlink r:id="rId15" w:history="1">
              <w:r w:rsidR="006A58DC" w:rsidRPr="009D61A8">
                <w:rPr>
                  <w:rStyle w:val="Hyperlink"/>
                  <w:rFonts w:asciiTheme="minorHAnsi" w:hAnsiTheme="minorHAnsi" w:cstheme="minorHAnsi"/>
                  <w:sz w:val="20"/>
                </w:rPr>
                <w:t>https://educationendownmentfoundation.org.uk</w:t>
              </w:r>
            </w:hyperlink>
            <w:r w:rsidR="006A58DC">
              <w:rPr>
                <w:rFonts w:asciiTheme="minorHAnsi" w:hAnsiTheme="minorHAnsi" w:cstheme="minorHAnsi"/>
                <w:sz w:val="20"/>
              </w:rPr>
              <w:t xml:space="preserve"> </w:t>
            </w:r>
          </w:p>
          <w:p w14:paraId="62653723" w14:textId="60013259" w:rsidR="006A58DC" w:rsidRDefault="006A58DC" w:rsidP="00C042FB">
            <w:pPr>
              <w:pStyle w:val="TableRowCentered"/>
              <w:jc w:val="left"/>
              <w:rPr>
                <w:rFonts w:asciiTheme="minorHAnsi" w:hAnsiTheme="minorHAnsi" w:cstheme="minorHAnsi"/>
                <w:sz w:val="20"/>
              </w:rPr>
            </w:pPr>
          </w:p>
          <w:p w14:paraId="28F56B1B" w14:textId="21CDDBB4" w:rsidR="006A58DC" w:rsidRDefault="006A58DC" w:rsidP="00C042FB">
            <w:pPr>
              <w:pStyle w:val="TableRowCentered"/>
              <w:jc w:val="left"/>
              <w:rPr>
                <w:rFonts w:asciiTheme="minorHAnsi" w:hAnsiTheme="minorHAnsi" w:cstheme="minorHAnsi"/>
                <w:sz w:val="20"/>
              </w:rPr>
            </w:pPr>
            <w:r>
              <w:rPr>
                <w:rFonts w:asciiTheme="minorHAnsi" w:hAnsiTheme="minorHAnsi" w:cstheme="minorHAnsi"/>
                <w:sz w:val="20"/>
              </w:rPr>
              <w:t>Careers education: International literature review.</w:t>
            </w:r>
          </w:p>
          <w:p w14:paraId="487C5B24" w14:textId="7C420193" w:rsidR="006A58DC" w:rsidRPr="00C10153" w:rsidRDefault="006A58DC" w:rsidP="006A58DC">
            <w:pPr>
              <w:pStyle w:val="TableRowCentered"/>
              <w:ind w:left="0"/>
              <w:jc w:val="left"/>
              <w:rPr>
                <w:rFonts w:asciiTheme="minorHAnsi" w:hAnsiTheme="minorHAnsi" w:cstheme="minorHAnsi"/>
                <w:sz w:val="20"/>
              </w:rPr>
            </w:pPr>
          </w:p>
        </w:tc>
        <w:tc>
          <w:tcPr>
            <w:tcW w:w="2544" w:type="dxa"/>
            <w:shd w:val="clear" w:color="auto" w:fill="auto"/>
            <w:tcMar>
              <w:top w:w="0" w:type="dxa"/>
              <w:left w:w="108" w:type="dxa"/>
              <w:bottom w:w="0" w:type="dxa"/>
              <w:right w:w="108" w:type="dxa"/>
            </w:tcMar>
          </w:tcPr>
          <w:p w14:paraId="65C13FC1" w14:textId="71725B69" w:rsidR="006A58DC" w:rsidRPr="009851BF" w:rsidRDefault="006A58DC" w:rsidP="00677C6A">
            <w:pPr>
              <w:pStyle w:val="TableRowCentered"/>
              <w:jc w:val="left"/>
              <w:rPr>
                <w:rFonts w:asciiTheme="minorHAnsi" w:hAnsiTheme="minorHAnsi" w:cstheme="minorHAnsi"/>
                <w:sz w:val="20"/>
              </w:rPr>
            </w:pPr>
            <w:r>
              <w:rPr>
                <w:rFonts w:asciiTheme="minorHAnsi" w:hAnsiTheme="minorHAnsi" w:cstheme="minorHAnsi"/>
                <w:sz w:val="20"/>
              </w:rPr>
              <w:t>6</w:t>
            </w:r>
          </w:p>
        </w:tc>
      </w:tr>
      <w:tr w:rsidR="00677C6A" w14:paraId="05CB2D63" w14:textId="77777777" w:rsidTr="00C042FB">
        <w:tc>
          <w:tcPr>
            <w:tcW w:w="2688" w:type="dxa"/>
            <w:shd w:val="clear" w:color="auto" w:fill="auto"/>
            <w:tcMar>
              <w:top w:w="0" w:type="dxa"/>
              <w:left w:w="108" w:type="dxa"/>
              <w:bottom w:w="0" w:type="dxa"/>
              <w:right w:w="108" w:type="dxa"/>
            </w:tcMar>
          </w:tcPr>
          <w:p w14:paraId="7DACD1B4" w14:textId="77777777" w:rsidR="00677C6A" w:rsidRPr="00C10153" w:rsidRDefault="00677C6A">
            <w:pPr>
              <w:pStyle w:val="TableRow"/>
              <w:rPr>
                <w:rFonts w:asciiTheme="minorHAnsi" w:hAnsiTheme="minorHAnsi" w:cstheme="minorHAnsi"/>
                <w:sz w:val="20"/>
                <w:szCs w:val="20"/>
              </w:rPr>
            </w:pPr>
            <w:r w:rsidRPr="00C10153">
              <w:rPr>
                <w:rFonts w:asciiTheme="minorHAnsi" w:hAnsiTheme="minorHAnsi" w:cstheme="minorHAnsi"/>
                <w:sz w:val="20"/>
                <w:szCs w:val="20"/>
              </w:rPr>
              <w:t>Funding to ensure students can access enrichment opportunities</w:t>
            </w:r>
            <w:r w:rsidR="00C13A40" w:rsidRPr="00C10153">
              <w:rPr>
                <w:rFonts w:asciiTheme="minorHAnsi" w:hAnsiTheme="minorHAnsi" w:cstheme="minorHAnsi"/>
                <w:sz w:val="20"/>
                <w:szCs w:val="20"/>
              </w:rPr>
              <w:t>. To include:</w:t>
            </w:r>
          </w:p>
          <w:p w14:paraId="4D451BCA" w14:textId="77777777" w:rsidR="00C13A40" w:rsidRPr="00C10153" w:rsidRDefault="00C13A40">
            <w:pPr>
              <w:pStyle w:val="TableRow"/>
              <w:rPr>
                <w:rFonts w:asciiTheme="minorHAnsi" w:hAnsiTheme="minorHAnsi" w:cstheme="minorHAnsi"/>
                <w:sz w:val="20"/>
                <w:szCs w:val="20"/>
              </w:rPr>
            </w:pPr>
            <w:r w:rsidRPr="00C10153">
              <w:rPr>
                <w:rFonts w:asciiTheme="minorHAnsi" w:hAnsiTheme="minorHAnsi" w:cstheme="minorHAnsi"/>
                <w:sz w:val="20"/>
                <w:szCs w:val="20"/>
              </w:rPr>
              <w:t>Year group trips and visits</w:t>
            </w:r>
          </w:p>
          <w:p w14:paraId="1D394E44" w14:textId="77777777" w:rsidR="00C13A40" w:rsidRPr="00C10153" w:rsidRDefault="00C13A40">
            <w:pPr>
              <w:pStyle w:val="TableRow"/>
              <w:rPr>
                <w:rFonts w:asciiTheme="minorHAnsi" w:hAnsiTheme="minorHAnsi" w:cstheme="minorHAnsi"/>
                <w:sz w:val="20"/>
                <w:szCs w:val="20"/>
              </w:rPr>
            </w:pPr>
            <w:r w:rsidRPr="00C10153">
              <w:rPr>
                <w:rFonts w:asciiTheme="minorHAnsi" w:hAnsiTheme="minorHAnsi" w:cstheme="minorHAnsi"/>
                <w:sz w:val="20"/>
                <w:szCs w:val="20"/>
              </w:rPr>
              <w:t>University and further education trips</w:t>
            </w:r>
          </w:p>
          <w:p w14:paraId="58415155" w14:textId="591976C9" w:rsidR="00C13A40" w:rsidRPr="00C10153" w:rsidRDefault="00C13A40">
            <w:pPr>
              <w:pStyle w:val="TableRow"/>
              <w:rPr>
                <w:rFonts w:asciiTheme="minorHAnsi" w:hAnsiTheme="minorHAnsi" w:cstheme="minorHAnsi"/>
                <w:sz w:val="20"/>
                <w:szCs w:val="20"/>
              </w:rPr>
            </w:pPr>
            <w:r w:rsidRPr="00C10153">
              <w:rPr>
                <w:rFonts w:asciiTheme="minorHAnsi" w:hAnsiTheme="minorHAnsi" w:cstheme="minorHAnsi"/>
                <w:sz w:val="20"/>
                <w:szCs w:val="20"/>
              </w:rPr>
              <w:t>Cultural experiences</w:t>
            </w:r>
          </w:p>
        </w:tc>
        <w:tc>
          <w:tcPr>
            <w:tcW w:w="4254" w:type="dxa"/>
            <w:shd w:val="clear" w:color="auto" w:fill="auto"/>
            <w:tcMar>
              <w:top w:w="0" w:type="dxa"/>
              <w:left w:w="108" w:type="dxa"/>
              <w:bottom w:w="0" w:type="dxa"/>
              <w:right w:w="108" w:type="dxa"/>
            </w:tcMar>
          </w:tcPr>
          <w:p w14:paraId="5CDA1374" w14:textId="60D6AD35" w:rsidR="00677C6A" w:rsidRPr="00C10153" w:rsidRDefault="00C13A40" w:rsidP="00C042FB">
            <w:pPr>
              <w:pStyle w:val="TableRowCentered"/>
              <w:jc w:val="left"/>
              <w:rPr>
                <w:rFonts w:asciiTheme="minorHAnsi" w:hAnsiTheme="minorHAnsi" w:cstheme="minorHAnsi"/>
                <w:sz w:val="20"/>
              </w:rPr>
            </w:pPr>
            <w:r w:rsidRPr="00C10153">
              <w:rPr>
                <w:rFonts w:asciiTheme="minorHAnsi" w:hAnsiTheme="minorHAnsi" w:cstheme="minorHAnsi"/>
                <w:sz w:val="20"/>
              </w:rPr>
              <w:t xml:space="preserve">Funding will be used to ensure all students are able to access enrichment opportunities. </w:t>
            </w:r>
          </w:p>
        </w:tc>
        <w:tc>
          <w:tcPr>
            <w:tcW w:w="2544" w:type="dxa"/>
            <w:shd w:val="clear" w:color="auto" w:fill="auto"/>
            <w:tcMar>
              <w:top w:w="0" w:type="dxa"/>
              <w:left w:w="108" w:type="dxa"/>
              <w:bottom w:w="0" w:type="dxa"/>
              <w:right w:w="108" w:type="dxa"/>
            </w:tcMar>
          </w:tcPr>
          <w:p w14:paraId="3529205C" w14:textId="3AA718F6" w:rsidR="00677C6A" w:rsidRPr="009851BF" w:rsidRDefault="00AA74F8" w:rsidP="00677C6A">
            <w:pPr>
              <w:pStyle w:val="TableRowCentered"/>
              <w:jc w:val="left"/>
              <w:rPr>
                <w:rFonts w:asciiTheme="minorHAnsi" w:hAnsiTheme="minorHAnsi" w:cstheme="minorHAnsi"/>
                <w:sz w:val="20"/>
              </w:rPr>
            </w:pPr>
            <w:r w:rsidRPr="009851BF">
              <w:rPr>
                <w:rFonts w:asciiTheme="minorHAnsi" w:hAnsiTheme="minorHAnsi" w:cstheme="minorHAnsi"/>
                <w:sz w:val="20"/>
              </w:rPr>
              <w:t>2,3, 4</w:t>
            </w:r>
          </w:p>
        </w:tc>
      </w:tr>
      <w:tr w:rsidR="00677C6A" w14:paraId="2C6C70E4" w14:textId="77777777" w:rsidTr="00C042FB">
        <w:tc>
          <w:tcPr>
            <w:tcW w:w="2688" w:type="dxa"/>
            <w:shd w:val="clear" w:color="auto" w:fill="auto"/>
            <w:tcMar>
              <w:top w:w="0" w:type="dxa"/>
              <w:left w:w="108" w:type="dxa"/>
              <w:bottom w:w="0" w:type="dxa"/>
              <w:right w:w="108" w:type="dxa"/>
            </w:tcMar>
          </w:tcPr>
          <w:p w14:paraId="600BBD96" w14:textId="5D41B344" w:rsidR="00677C6A" w:rsidRPr="009851BF" w:rsidRDefault="00677C6A">
            <w:pPr>
              <w:pStyle w:val="TableRow"/>
              <w:rPr>
                <w:rFonts w:asciiTheme="minorHAnsi" w:hAnsiTheme="minorHAnsi" w:cstheme="minorHAnsi"/>
                <w:sz w:val="20"/>
                <w:szCs w:val="20"/>
              </w:rPr>
            </w:pPr>
            <w:r w:rsidRPr="009851BF">
              <w:rPr>
                <w:rFonts w:asciiTheme="minorHAnsi" w:hAnsiTheme="minorHAnsi" w:cstheme="minorHAnsi"/>
                <w:sz w:val="20"/>
                <w:szCs w:val="20"/>
              </w:rPr>
              <w:t xml:space="preserve">Funding to remove </w:t>
            </w:r>
            <w:r w:rsidR="00C13A40" w:rsidRPr="009851BF">
              <w:rPr>
                <w:rFonts w:asciiTheme="minorHAnsi" w:hAnsiTheme="minorHAnsi" w:cstheme="minorHAnsi"/>
                <w:sz w:val="20"/>
                <w:szCs w:val="20"/>
              </w:rPr>
              <w:t xml:space="preserve">specific </w:t>
            </w:r>
            <w:r w:rsidRPr="009851BF">
              <w:rPr>
                <w:rFonts w:asciiTheme="minorHAnsi" w:hAnsiTheme="minorHAnsi" w:cstheme="minorHAnsi"/>
                <w:sz w:val="20"/>
                <w:szCs w:val="20"/>
              </w:rPr>
              <w:t>barriers to attendance, including uniform and transport.</w:t>
            </w:r>
          </w:p>
        </w:tc>
        <w:tc>
          <w:tcPr>
            <w:tcW w:w="4254" w:type="dxa"/>
            <w:shd w:val="clear" w:color="auto" w:fill="auto"/>
            <w:tcMar>
              <w:top w:w="0" w:type="dxa"/>
              <w:left w:w="108" w:type="dxa"/>
              <w:bottom w:w="0" w:type="dxa"/>
              <w:right w:w="108" w:type="dxa"/>
            </w:tcMar>
          </w:tcPr>
          <w:p w14:paraId="3D751263" w14:textId="128E3DC6" w:rsidR="00677C6A" w:rsidRPr="009851BF" w:rsidRDefault="00AA74F8" w:rsidP="00C042FB">
            <w:pPr>
              <w:pStyle w:val="TableRowCentered"/>
              <w:jc w:val="left"/>
              <w:rPr>
                <w:rFonts w:asciiTheme="minorHAnsi" w:hAnsiTheme="minorHAnsi" w:cstheme="minorHAnsi"/>
                <w:sz w:val="20"/>
              </w:rPr>
            </w:pPr>
            <w:r w:rsidRPr="009851BF">
              <w:rPr>
                <w:rFonts w:asciiTheme="minorHAnsi" w:hAnsiTheme="minorHAnsi" w:cstheme="minorHAnsi"/>
                <w:sz w:val="20"/>
              </w:rPr>
              <w:t>Hardship fund will be used to remove material barriers to attendance.</w:t>
            </w:r>
          </w:p>
        </w:tc>
        <w:tc>
          <w:tcPr>
            <w:tcW w:w="2544" w:type="dxa"/>
            <w:shd w:val="clear" w:color="auto" w:fill="auto"/>
            <w:tcMar>
              <w:top w:w="0" w:type="dxa"/>
              <w:left w:w="108" w:type="dxa"/>
              <w:bottom w:w="0" w:type="dxa"/>
              <w:right w:w="108" w:type="dxa"/>
            </w:tcMar>
          </w:tcPr>
          <w:p w14:paraId="4F4F3336" w14:textId="6B2218FC" w:rsidR="00677C6A" w:rsidRPr="009851BF" w:rsidRDefault="00C13A40" w:rsidP="00677C6A">
            <w:pPr>
              <w:pStyle w:val="TableRowCentered"/>
              <w:jc w:val="left"/>
              <w:rPr>
                <w:rFonts w:asciiTheme="minorHAnsi" w:hAnsiTheme="minorHAnsi" w:cstheme="minorHAnsi"/>
                <w:sz w:val="20"/>
              </w:rPr>
            </w:pPr>
            <w:r w:rsidRPr="009851BF">
              <w:rPr>
                <w:rFonts w:asciiTheme="minorHAnsi" w:hAnsiTheme="minorHAnsi" w:cstheme="minorHAnsi"/>
                <w:sz w:val="20"/>
              </w:rPr>
              <w:t>3</w:t>
            </w:r>
          </w:p>
        </w:tc>
      </w:tr>
    </w:tbl>
    <w:p w14:paraId="2A7D5540" w14:textId="77777777" w:rsidR="00E66558" w:rsidRDefault="00E66558">
      <w:pPr>
        <w:spacing w:before="240" w:after="0"/>
        <w:rPr>
          <w:b/>
          <w:bCs/>
          <w:color w:val="104F75"/>
          <w:sz w:val="28"/>
          <w:szCs w:val="28"/>
        </w:rPr>
      </w:pPr>
    </w:p>
    <w:p w14:paraId="2A7D5541" w14:textId="221FFC2A" w:rsidR="00E66558" w:rsidRPr="009851BF" w:rsidRDefault="009D71E8" w:rsidP="00120AB1">
      <w:pPr>
        <w:rPr>
          <w:rFonts w:asciiTheme="minorHAnsi" w:hAnsiTheme="minorHAnsi" w:cstheme="minorHAnsi"/>
          <w:i/>
          <w:iCs/>
          <w:color w:val="104F75"/>
        </w:rPr>
      </w:pPr>
      <w:r w:rsidRPr="009851BF">
        <w:rPr>
          <w:rFonts w:asciiTheme="minorHAnsi" w:hAnsiTheme="minorHAnsi" w:cstheme="minorHAnsi"/>
          <w:b/>
          <w:bCs/>
          <w:color w:val="104F75"/>
        </w:rPr>
        <w:t>Total budgeted cost: £</w:t>
      </w:r>
      <w:r w:rsidR="00757A7F" w:rsidRPr="009851BF">
        <w:rPr>
          <w:rFonts w:asciiTheme="minorHAnsi" w:hAnsiTheme="minorHAnsi" w:cstheme="minorHAnsi"/>
          <w:b/>
          <w:bCs/>
          <w:color w:val="104F75"/>
        </w:rPr>
        <w:t>739967</w:t>
      </w:r>
      <w:r w:rsidR="00757A7F" w:rsidRPr="009851BF">
        <w:rPr>
          <w:rFonts w:asciiTheme="minorHAnsi" w:hAnsiTheme="minorHAnsi" w:cstheme="minorHAnsi"/>
        </w:rPr>
        <w:t xml:space="preserve"> </w:t>
      </w:r>
    </w:p>
    <w:p w14:paraId="2A7D5542" w14:textId="77777777" w:rsidR="00E66558" w:rsidRPr="009851BF" w:rsidRDefault="009D71E8">
      <w:pPr>
        <w:pStyle w:val="Heading1"/>
        <w:rPr>
          <w:rFonts w:asciiTheme="minorHAnsi" w:hAnsiTheme="minorHAnsi" w:cstheme="minorHAnsi"/>
          <w:sz w:val="24"/>
        </w:rPr>
      </w:pPr>
      <w:r w:rsidRPr="009851BF">
        <w:rPr>
          <w:rFonts w:asciiTheme="minorHAnsi" w:hAnsiTheme="minorHAnsi" w:cstheme="minorHAnsi"/>
          <w:sz w:val="24"/>
        </w:rPr>
        <w:t>Part B: Review of outcomes in the previous academic year</w:t>
      </w:r>
    </w:p>
    <w:p w14:paraId="2A7D5543" w14:textId="77777777" w:rsidR="00E66558" w:rsidRPr="009851BF" w:rsidRDefault="009D71E8">
      <w:pPr>
        <w:pStyle w:val="Heading2"/>
        <w:rPr>
          <w:rFonts w:asciiTheme="minorHAnsi" w:hAnsiTheme="minorHAnsi" w:cstheme="minorHAnsi"/>
          <w:sz w:val="24"/>
          <w:szCs w:val="24"/>
        </w:rPr>
      </w:pPr>
      <w:r w:rsidRPr="009851BF">
        <w:rPr>
          <w:rFonts w:asciiTheme="minorHAnsi" w:hAnsiTheme="minorHAnsi" w:cstheme="minorHAnsi"/>
          <w:sz w:val="24"/>
          <w:szCs w:val="24"/>
        </w:rPr>
        <w:t>Pupil premium strategy outcomes</w:t>
      </w:r>
    </w:p>
    <w:p w14:paraId="2A7D5544" w14:textId="14E9BE85" w:rsidR="00E66558" w:rsidRPr="009851BF" w:rsidRDefault="009D71E8">
      <w:pPr>
        <w:rPr>
          <w:rFonts w:asciiTheme="minorHAnsi" w:hAnsiTheme="minorHAnsi" w:cstheme="minorHAnsi"/>
        </w:rPr>
      </w:pPr>
      <w:r w:rsidRPr="009851BF">
        <w:rPr>
          <w:rFonts w:asciiTheme="minorHAnsi" w:hAnsiTheme="minorHAnsi" w:cstheme="minorHAnsi"/>
        </w:rPr>
        <w:t>This details the impact that our pupil premium activity had on pupils in the 202</w:t>
      </w:r>
      <w:r w:rsidR="00AA74F8" w:rsidRPr="009851BF">
        <w:rPr>
          <w:rFonts w:asciiTheme="minorHAnsi" w:hAnsiTheme="minorHAnsi" w:cstheme="minorHAnsi"/>
        </w:rPr>
        <w:t>1</w:t>
      </w:r>
      <w:r w:rsidRPr="009851BF">
        <w:rPr>
          <w:rFonts w:asciiTheme="minorHAnsi" w:hAnsiTheme="minorHAnsi" w:cstheme="minorHAnsi"/>
        </w:rPr>
        <w:t xml:space="preserve"> to 202</w:t>
      </w:r>
      <w:r w:rsidR="00AA74F8" w:rsidRPr="009851BF">
        <w:rPr>
          <w:rFonts w:asciiTheme="minorHAnsi" w:hAnsiTheme="minorHAnsi" w:cstheme="minorHAnsi"/>
        </w:rPr>
        <w:t>2</w:t>
      </w:r>
      <w:r w:rsidRPr="009851BF">
        <w:rPr>
          <w:rFonts w:asciiTheme="minorHAnsi" w:hAnsiTheme="minorHAnsi" w:cstheme="minorHAnsi"/>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9851BF" w14:paraId="2A7D5547" w14:textId="77777777" w:rsidTr="009561A1">
        <w:trPr>
          <w:trHeight w:val="1102"/>
        </w:trPr>
        <w:tc>
          <w:tcPr>
            <w:tcW w:w="94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AA274" w14:textId="77777777" w:rsidR="00E66558" w:rsidRPr="009851BF" w:rsidRDefault="009D71E8">
            <w:pPr>
              <w:rPr>
                <w:rFonts w:asciiTheme="minorHAnsi" w:hAnsiTheme="minorHAnsi" w:cstheme="minorHAnsi"/>
                <w:b/>
                <w:sz w:val="20"/>
                <w:szCs w:val="20"/>
                <w:u w:val="single"/>
                <w:lang w:eastAsia="en-US"/>
              </w:rPr>
            </w:pPr>
            <w:r w:rsidRPr="009851BF">
              <w:rPr>
                <w:rFonts w:asciiTheme="minorHAnsi" w:hAnsiTheme="minorHAnsi" w:cstheme="minorHAnsi"/>
                <w:i/>
                <w:sz w:val="20"/>
                <w:szCs w:val="20"/>
                <w:lang w:eastAsia="en-US"/>
              </w:rPr>
              <w:t xml:space="preserve"> </w:t>
            </w:r>
            <w:r w:rsidR="00677C6A" w:rsidRPr="009851BF">
              <w:rPr>
                <w:rFonts w:asciiTheme="minorHAnsi" w:hAnsiTheme="minorHAnsi" w:cstheme="minorHAnsi"/>
                <w:b/>
                <w:sz w:val="20"/>
                <w:szCs w:val="20"/>
                <w:u w:val="single"/>
                <w:lang w:eastAsia="en-US"/>
              </w:rPr>
              <w:t>Teaching approaches:</w:t>
            </w:r>
          </w:p>
          <w:p w14:paraId="081F9539" w14:textId="189B4239" w:rsidR="00677C6A" w:rsidRPr="009851BF" w:rsidRDefault="00677C6A">
            <w:pPr>
              <w:rPr>
                <w:rFonts w:asciiTheme="minorHAnsi" w:hAnsiTheme="minorHAnsi" w:cstheme="minorHAnsi"/>
                <w:b/>
                <w:bCs/>
                <w:sz w:val="20"/>
                <w:szCs w:val="20"/>
                <w:u w:val="single"/>
                <w:lang w:eastAsia="en-US"/>
              </w:rPr>
            </w:pPr>
            <w:r w:rsidRPr="009851BF">
              <w:rPr>
                <w:rFonts w:asciiTheme="minorHAnsi" w:hAnsiTheme="minorHAnsi" w:cstheme="minorHAnsi"/>
                <w:b/>
                <w:bCs/>
                <w:sz w:val="20"/>
                <w:szCs w:val="20"/>
                <w:u w:val="single"/>
                <w:lang w:eastAsia="en-US"/>
              </w:rPr>
              <w:t>Desired outcome: Improved rates of progress for those who are pupil premium through</w:t>
            </w:r>
            <w:r w:rsidR="004F542B" w:rsidRPr="009851BF">
              <w:rPr>
                <w:rFonts w:asciiTheme="minorHAnsi" w:hAnsiTheme="minorHAnsi" w:cstheme="minorHAnsi"/>
                <w:b/>
                <w:bCs/>
                <w:sz w:val="20"/>
                <w:szCs w:val="20"/>
                <w:u w:val="single"/>
                <w:lang w:eastAsia="en-US"/>
              </w:rPr>
              <w:t xml:space="preserve"> increasing reading age.</w:t>
            </w:r>
          </w:p>
          <w:p w14:paraId="57F58AB9" w14:textId="5A6A6B15" w:rsidR="00677C6A" w:rsidRPr="009851BF" w:rsidRDefault="009D20BC">
            <w:pPr>
              <w:rPr>
                <w:rFonts w:asciiTheme="minorHAnsi" w:hAnsiTheme="minorHAnsi" w:cstheme="minorHAnsi"/>
                <w:sz w:val="20"/>
                <w:szCs w:val="20"/>
                <w:lang w:eastAsia="en-US"/>
              </w:rPr>
            </w:pPr>
            <w:r w:rsidRPr="009851BF">
              <w:rPr>
                <w:rFonts w:asciiTheme="minorHAnsi" w:hAnsiTheme="minorHAnsi" w:cstheme="minorHAnsi"/>
                <w:sz w:val="20"/>
                <w:szCs w:val="20"/>
                <w:u w:val="single"/>
                <w:lang w:eastAsia="en-US"/>
              </w:rPr>
              <w:t>Approaches</w:t>
            </w:r>
            <w:r w:rsidRPr="009851BF">
              <w:rPr>
                <w:rFonts w:asciiTheme="minorHAnsi" w:hAnsiTheme="minorHAnsi" w:cstheme="minorHAnsi"/>
                <w:sz w:val="20"/>
                <w:szCs w:val="20"/>
                <w:lang w:eastAsia="en-US"/>
              </w:rPr>
              <w:t xml:space="preserve">: </w:t>
            </w:r>
          </w:p>
          <w:p w14:paraId="6A996B48" w14:textId="311FD299" w:rsidR="009D20BC" w:rsidRPr="009851BF" w:rsidRDefault="009D20BC" w:rsidP="009D20BC">
            <w:pPr>
              <w:pStyle w:val="ListParagraph"/>
              <w:numPr>
                <w:ilvl w:val="0"/>
                <w:numId w:val="17"/>
              </w:num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 xml:space="preserve">Specific training for </w:t>
            </w:r>
            <w:r w:rsidR="007B5CED" w:rsidRPr="009851BF">
              <w:rPr>
                <w:rFonts w:asciiTheme="minorHAnsi" w:hAnsiTheme="minorHAnsi" w:cstheme="minorHAnsi"/>
                <w:sz w:val="20"/>
                <w:szCs w:val="20"/>
                <w:lang w:eastAsia="en-US"/>
              </w:rPr>
              <w:t>key staff in delivery of reading intervention.</w:t>
            </w:r>
          </w:p>
          <w:p w14:paraId="2CDEF3FA" w14:textId="386B0A32" w:rsidR="009E32D5" w:rsidRPr="009851BF" w:rsidRDefault="009E32D5" w:rsidP="009D20BC">
            <w:pPr>
              <w:pStyle w:val="ListParagraph"/>
              <w:numPr>
                <w:ilvl w:val="0"/>
                <w:numId w:val="17"/>
              </w:num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Large scale reading intervention for any students with a SAS lower than 90</w:t>
            </w:r>
          </w:p>
          <w:p w14:paraId="78947B6A" w14:textId="6080339B" w:rsidR="007B5CED" w:rsidRPr="009851BF" w:rsidRDefault="007B5CED" w:rsidP="009D20BC">
            <w:pPr>
              <w:pStyle w:val="ListParagraph"/>
              <w:numPr>
                <w:ilvl w:val="0"/>
                <w:numId w:val="17"/>
              </w:num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Whole school training for staff on approaches to supporting reading and vocabulary development.</w:t>
            </w:r>
          </w:p>
          <w:p w14:paraId="3148A87C" w14:textId="711C8A2D" w:rsidR="00564F08" w:rsidRPr="009851BF" w:rsidRDefault="00564F08" w:rsidP="009D20BC">
            <w:pPr>
              <w:pStyle w:val="ListParagraph"/>
              <w:numPr>
                <w:ilvl w:val="0"/>
                <w:numId w:val="17"/>
              </w:num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Whole school literacy coordinator</w:t>
            </w:r>
          </w:p>
          <w:p w14:paraId="29F68A49" w14:textId="7197DEE5" w:rsidR="009D20BC" w:rsidRPr="009851BF" w:rsidRDefault="009D20BC" w:rsidP="009D20BC">
            <w:pPr>
              <w:rPr>
                <w:rFonts w:asciiTheme="minorHAnsi" w:hAnsiTheme="minorHAnsi" w:cstheme="minorHAnsi"/>
                <w:sz w:val="20"/>
                <w:szCs w:val="20"/>
                <w:u w:val="single"/>
                <w:lang w:eastAsia="en-US"/>
              </w:rPr>
            </w:pPr>
            <w:r w:rsidRPr="009851BF">
              <w:rPr>
                <w:rFonts w:asciiTheme="minorHAnsi" w:hAnsiTheme="minorHAnsi" w:cstheme="minorHAnsi"/>
                <w:sz w:val="20"/>
                <w:szCs w:val="20"/>
                <w:u w:val="single"/>
                <w:lang w:eastAsia="en-US"/>
              </w:rPr>
              <w:t>Impact:</w:t>
            </w:r>
          </w:p>
          <w:p w14:paraId="6A4EF7EA" w14:textId="5B695049" w:rsidR="007B5CED" w:rsidRPr="009851BF" w:rsidRDefault="009E32D5"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Between September and April disadvantaged students SAS increased on average from 94 to 98 (whole cohort).</w:t>
            </w:r>
          </w:p>
          <w:p w14:paraId="3BD204D6" w14:textId="77628AAA" w:rsidR="009E32D5" w:rsidRPr="009851BF" w:rsidRDefault="009E32D5"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Disadvantaged students who met the criteria for the reading intervention programme (lexonix leap and lexonix advance) made an average of 37 months progress in reading age across the seven week intervention. The average SAS of these students moved from 74 to 87.5.</w:t>
            </w:r>
          </w:p>
          <w:p w14:paraId="052C7578" w14:textId="4C66BD86" w:rsidR="004E2499" w:rsidRPr="009851BF" w:rsidRDefault="004E2499" w:rsidP="009D20BC">
            <w:pPr>
              <w:rPr>
                <w:rFonts w:asciiTheme="minorHAnsi" w:hAnsiTheme="minorHAnsi" w:cstheme="minorHAnsi"/>
                <w:sz w:val="20"/>
                <w:szCs w:val="20"/>
                <w:lang w:eastAsia="en-US"/>
              </w:rPr>
            </w:pPr>
            <w:r w:rsidRPr="009851BF">
              <w:rPr>
                <w:rFonts w:asciiTheme="minorHAnsi" w:hAnsiTheme="minorHAnsi" w:cstheme="minorHAnsi"/>
                <w:sz w:val="20"/>
                <w:szCs w:val="20"/>
                <w:u w:val="single"/>
                <w:lang w:eastAsia="en-US"/>
              </w:rPr>
              <w:t>Next steps</w:t>
            </w:r>
            <w:r w:rsidRPr="009851BF">
              <w:rPr>
                <w:rFonts w:asciiTheme="minorHAnsi" w:hAnsiTheme="minorHAnsi" w:cstheme="minorHAnsi"/>
                <w:sz w:val="20"/>
                <w:szCs w:val="20"/>
                <w:lang w:eastAsia="en-US"/>
              </w:rPr>
              <w:t xml:space="preserve">: Further development of </w:t>
            </w:r>
            <w:r w:rsidR="009E32D5" w:rsidRPr="009851BF">
              <w:rPr>
                <w:rFonts w:asciiTheme="minorHAnsi" w:hAnsiTheme="minorHAnsi" w:cstheme="minorHAnsi"/>
                <w:sz w:val="20"/>
                <w:szCs w:val="20"/>
                <w:lang w:eastAsia="en-US"/>
              </w:rPr>
              <w:t>capacity to deliver phonics based reading programmes, to allow early access in September for all eligible incoming Year 7s.</w:t>
            </w:r>
          </w:p>
          <w:p w14:paraId="1C81A382" w14:textId="6D8DD4F9" w:rsidR="009E32D5" w:rsidRPr="009851BF" w:rsidRDefault="00564F08"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 xml:space="preserve">Develop approaches to reading in class to incorporate the reading reconsidered principles. </w:t>
            </w:r>
          </w:p>
          <w:p w14:paraId="23D7F808" w14:textId="099F5412" w:rsidR="00564F08" w:rsidRPr="009851BF" w:rsidRDefault="00564F08"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Redesign the school day shape to allow dedicated time for guided reading within the school day.</w:t>
            </w:r>
          </w:p>
          <w:p w14:paraId="1DBA1B1B" w14:textId="44FE2609" w:rsidR="00D10734" w:rsidRPr="009851BF" w:rsidRDefault="000262FB" w:rsidP="009D20BC">
            <w:pPr>
              <w:rPr>
                <w:rFonts w:asciiTheme="minorHAnsi" w:hAnsiTheme="minorHAnsi" w:cstheme="minorHAnsi"/>
                <w:b/>
                <w:sz w:val="20"/>
                <w:szCs w:val="20"/>
                <w:u w:val="single"/>
                <w:lang w:eastAsia="en-US"/>
              </w:rPr>
            </w:pPr>
            <w:r w:rsidRPr="009851BF">
              <w:rPr>
                <w:rFonts w:asciiTheme="minorHAnsi" w:hAnsiTheme="minorHAnsi" w:cstheme="minorHAnsi"/>
                <w:b/>
                <w:sz w:val="20"/>
                <w:szCs w:val="20"/>
                <w:u w:val="single"/>
                <w:lang w:eastAsia="en-US"/>
              </w:rPr>
              <w:t xml:space="preserve">Desired outcome: </w:t>
            </w:r>
            <w:r w:rsidR="00564F08" w:rsidRPr="009851BF">
              <w:rPr>
                <w:rFonts w:asciiTheme="minorHAnsi" w:hAnsiTheme="minorHAnsi" w:cstheme="minorHAnsi"/>
                <w:b/>
                <w:sz w:val="20"/>
                <w:szCs w:val="20"/>
                <w:u w:val="single"/>
                <w:lang w:eastAsia="en-US"/>
              </w:rPr>
              <w:t>Develop high quality teaching and learning</w:t>
            </w:r>
          </w:p>
          <w:p w14:paraId="2E3CF5BF" w14:textId="3894FE94" w:rsidR="000262FB" w:rsidRPr="009851BF" w:rsidRDefault="000262FB" w:rsidP="009D20BC">
            <w:pPr>
              <w:rPr>
                <w:rFonts w:asciiTheme="minorHAnsi" w:hAnsiTheme="minorHAnsi" w:cstheme="minorHAnsi"/>
                <w:sz w:val="20"/>
                <w:szCs w:val="20"/>
                <w:u w:val="single"/>
                <w:lang w:eastAsia="en-US"/>
              </w:rPr>
            </w:pPr>
            <w:r w:rsidRPr="009851BF">
              <w:rPr>
                <w:rFonts w:asciiTheme="minorHAnsi" w:hAnsiTheme="minorHAnsi" w:cstheme="minorHAnsi"/>
                <w:sz w:val="20"/>
                <w:szCs w:val="20"/>
                <w:u w:val="single"/>
                <w:lang w:eastAsia="en-US"/>
              </w:rPr>
              <w:t xml:space="preserve">Approaches: </w:t>
            </w:r>
          </w:p>
          <w:p w14:paraId="79F77A64" w14:textId="7F52FF44" w:rsidR="000262FB" w:rsidRPr="009851BF" w:rsidRDefault="00564F08" w:rsidP="00564F08">
            <w:pPr>
              <w:pStyle w:val="ListParagraph"/>
              <w:numPr>
                <w:ilvl w:val="0"/>
                <w:numId w:val="17"/>
              </w:num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Gradual release model – CPD and in lesson training.</w:t>
            </w:r>
          </w:p>
          <w:p w14:paraId="2E17D661" w14:textId="4800D6DF" w:rsidR="00564F08" w:rsidRPr="009851BF" w:rsidRDefault="00564F08" w:rsidP="00564F08">
            <w:pPr>
              <w:pStyle w:val="ListParagraph"/>
              <w:numPr>
                <w:ilvl w:val="0"/>
                <w:numId w:val="17"/>
              </w:num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Hinge questioning</w:t>
            </w:r>
          </w:p>
          <w:p w14:paraId="210AF828" w14:textId="79B0F21B" w:rsidR="000262FB" w:rsidRPr="009851BF" w:rsidRDefault="000262FB" w:rsidP="000262FB">
            <w:pPr>
              <w:rPr>
                <w:rFonts w:asciiTheme="minorHAnsi" w:hAnsiTheme="minorHAnsi" w:cstheme="minorHAnsi"/>
                <w:sz w:val="20"/>
                <w:szCs w:val="20"/>
                <w:u w:val="single"/>
                <w:lang w:eastAsia="en-US"/>
              </w:rPr>
            </w:pPr>
            <w:r w:rsidRPr="009851BF">
              <w:rPr>
                <w:rFonts w:asciiTheme="minorHAnsi" w:hAnsiTheme="minorHAnsi" w:cstheme="minorHAnsi"/>
                <w:sz w:val="20"/>
                <w:szCs w:val="20"/>
                <w:u w:val="single"/>
                <w:lang w:eastAsia="en-US"/>
              </w:rPr>
              <w:t>Impact:</w:t>
            </w:r>
          </w:p>
          <w:p w14:paraId="28B1C2C4" w14:textId="27553484" w:rsidR="00564F08" w:rsidRPr="009851BF" w:rsidRDefault="00564F08"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CPD delivered on a weekly basis to develop teaching pedagogy. Staff voice showed that teachers had found the training helpful with more that three quarters saying they felt more able to use questioning to identify gaps in learning.</w:t>
            </w:r>
          </w:p>
          <w:p w14:paraId="0ACC7F0D" w14:textId="219F0E27" w:rsidR="00564F08" w:rsidRPr="009851BF" w:rsidRDefault="000B4FD1"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Outcomes in 2022 showed that disadvantaged students had better attainment than in 2019.</w:t>
            </w:r>
          </w:p>
          <w:tbl>
            <w:tblPr>
              <w:tblStyle w:val="TableGrid"/>
              <w:tblW w:w="0" w:type="auto"/>
              <w:tblLook w:val="04A0" w:firstRow="1" w:lastRow="0" w:firstColumn="1" w:lastColumn="0" w:noHBand="0" w:noVBand="1"/>
            </w:tblPr>
            <w:tblGrid>
              <w:gridCol w:w="3089"/>
              <w:gridCol w:w="3089"/>
              <w:gridCol w:w="3089"/>
            </w:tblGrid>
            <w:tr w:rsidR="0039445C" w:rsidRPr="009851BF" w14:paraId="4AA7A898" w14:textId="77777777" w:rsidTr="0039445C">
              <w:tc>
                <w:tcPr>
                  <w:tcW w:w="3089" w:type="dxa"/>
                </w:tcPr>
                <w:p w14:paraId="37A738DD" w14:textId="704B322A" w:rsidR="0039445C" w:rsidRPr="009851BF" w:rsidRDefault="0039445C"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Measure</w:t>
                  </w:r>
                  <w:r w:rsidR="009215CA" w:rsidRPr="009851BF">
                    <w:rPr>
                      <w:rFonts w:asciiTheme="minorHAnsi" w:hAnsiTheme="minorHAnsi" w:cstheme="minorHAnsi"/>
                      <w:bCs/>
                      <w:sz w:val="20"/>
                      <w:szCs w:val="20"/>
                      <w:lang w:eastAsia="en-US"/>
                    </w:rPr>
                    <w:t xml:space="preserve"> for DP </w:t>
                  </w:r>
                </w:p>
              </w:tc>
              <w:tc>
                <w:tcPr>
                  <w:tcW w:w="3089" w:type="dxa"/>
                </w:tcPr>
                <w:p w14:paraId="253D5692" w14:textId="582D167D" w:rsidR="0039445C" w:rsidRPr="009851BF" w:rsidRDefault="0039445C"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2019</w:t>
                  </w:r>
                </w:p>
              </w:tc>
              <w:tc>
                <w:tcPr>
                  <w:tcW w:w="3089" w:type="dxa"/>
                </w:tcPr>
                <w:p w14:paraId="3D2EE22D" w14:textId="28B70249" w:rsidR="0039445C" w:rsidRPr="009851BF" w:rsidRDefault="0039445C"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2022</w:t>
                  </w:r>
                </w:p>
              </w:tc>
            </w:tr>
            <w:tr w:rsidR="0039445C" w:rsidRPr="009851BF" w14:paraId="198268A8" w14:textId="77777777" w:rsidTr="0039445C">
              <w:tc>
                <w:tcPr>
                  <w:tcW w:w="3089" w:type="dxa"/>
                </w:tcPr>
                <w:p w14:paraId="1CFBBDAA" w14:textId="558E9D4E" w:rsidR="0039445C" w:rsidRPr="009851BF" w:rsidRDefault="0039445C"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Attainment 8</w:t>
                  </w:r>
                </w:p>
              </w:tc>
              <w:tc>
                <w:tcPr>
                  <w:tcW w:w="3089" w:type="dxa"/>
                </w:tcPr>
                <w:p w14:paraId="00A7F290" w14:textId="67DE4F70" w:rsidR="0039445C" w:rsidRPr="009851BF" w:rsidRDefault="0039445C"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33</w:t>
                  </w:r>
                </w:p>
              </w:tc>
              <w:tc>
                <w:tcPr>
                  <w:tcW w:w="3089" w:type="dxa"/>
                </w:tcPr>
                <w:p w14:paraId="46111C95" w14:textId="3D6C4BD3" w:rsidR="0039445C" w:rsidRPr="009851BF" w:rsidRDefault="0039445C"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41.91</w:t>
                  </w:r>
                </w:p>
              </w:tc>
            </w:tr>
            <w:tr w:rsidR="0039445C" w:rsidRPr="009851BF" w14:paraId="6CB35D83" w14:textId="77777777" w:rsidTr="0039445C">
              <w:tc>
                <w:tcPr>
                  <w:tcW w:w="3089" w:type="dxa"/>
                </w:tcPr>
                <w:p w14:paraId="3AF5C2E2" w14:textId="6CED81E5" w:rsidR="0039445C"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Basics 5+</w:t>
                  </w:r>
                </w:p>
              </w:tc>
              <w:tc>
                <w:tcPr>
                  <w:tcW w:w="3089" w:type="dxa"/>
                </w:tcPr>
                <w:p w14:paraId="01422761" w14:textId="1C5158DE" w:rsidR="0039445C"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14%</w:t>
                  </w:r>
                </w:p>
              </w:tc>
              <w:tc>
                <w:tcPr>
                  <w:tcW w:w="3089" w:type="dxa"/>
                </w:tcPr>
                <w:p w14:paraId="61ED6E75" w14:textId="3B7F439B" w:rsidR="0039445C"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31%</w:t>
                  </w:r>
                </w:p>
              </w:tc>
            </w:tr>
            <w:tr w:rsidR="009215CA" w:rsidRPr="009851BF" w14:paraId="715EB7A7" w14:textId="77777777" w:rsidTr="0039445C">
              <w:tc>
                <w:tcPr>
                  <w:tcW w:w="3089" w:type="dxa"/>
                </w:tcPr>
                <w:p w14:paraId="375EAC8F" w14:textId="0980FDA8" w:rsidR="009215CA"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Basics 4+</w:t>
                  </w:r>
                </w:p>
              </w:tc>
              <w:tc>
                <w:tcPr>
                  <w:tcW w:w="3089" w:type="dxa"/>
                </w:tcPr>
                <w:p w14:paraId="460EB3E7" w14:textId="5A1BD8DF" w:rsidR="009215CA"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40%</w:t>
                  </w:r>
                </w:p>
              </w:tc>
              <w:tc>
                <w:tcPr>
                  <w:tcW w:w="3089" w:type="dxa"/>
                </w:tcPr>
                <w:p w14:paraId="3D188979" w14:textId="21750D19" w:rsidR="009215CA"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52%</w:t>
                  </w:r>
                </w:p>
              </w:tc>
            </w:tr>
          </w:tbl>
          <w:p w14:paraId="6DEEC156" w14:textId="228449E8" w:rsidR="000B4FD1" w:rsidRPr="009851BF" w:rsidRDefault="000B4FD1" w:rsidP="009D20BC">
            <w:pPr>
              <w:rPr>
                <w:rFonts w:asciiTheme="minorHAnsi" w:hAnsiTheme="minorHAnsi" w:cstheme="minorHAnsi"/>
                <w:bCs/>
                <w:sz w:val="20"/>
                <w:szCs w:val="20"/>
                <w:lang w:eastAsia="en-US"/>
              </w:rPr>
            </w:pPr>
          </w:p>
          <w:p w14:paraId="48140A3E" w14:textId="6FB8CB28" w:rsidR="009215CA" w:rsidRPr="009851BF" w:rsidRDefault="009215CA" w:rsidP="009D20BC">
            <w:pPr>
              <w:rPr>
                <w:rFonts w:asciiTheme="minorHAnsi" w:hAnsiTheme="minorHAnsi" w:cstheme="minorHAnsi"/>
                <w:bCs/>
                <w:sz w:val="20"/>
                <w:szCs w:val="20"/>
                <w:u w:val="single"/>
                <w:lang w:eastAsia="en-US"/>
              </w:rPr>
            </w:pPr>
            <w:r w:rsidRPr="009851BF">
              <w:rPr>
                <w:rFonts w:asciiTheme="minorHAnsi" w:hAnsiTheme="minorHAnsi" w:cstheme="minorHAnsi"/>
                <w:bCs/>
                <w:sz w:val="20"/>
                <w:szCs w:val="20"/>
                <w:u w:val="single"/>
                <w:lang w:eastAsia="en-US"/>
              </w:rPr>
              <w:t>Next steps:</w:t>
            </w:r>
          </w:p>
          <w:p w14:paraId="1F56A276" w14:textId="7FAB4ABE" w:rsidR="009215CA"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Continue to strengthen high quality teaching by:</w:t>
            </w:r>
          </w:p>
          <w:p w14:paraId="695F621E" w14:textId="65707CF2" w:rsidR="009215CA"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-Introduction of weekly coaching for all staff to improve teaching pedagogy.</w:t>
            </w:r>
          </w:p>
          <w:p w14:paraId="5FDD6252" w14:textId="6C96211B" w:rsidR="009215CA" w:rsidRPr="009851BF" w:rsidRDefault="009215CA"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 xml:space="preserve">-Trust assistant principals to support the delivery of the new Ebacc curriculum and subject specific approaches to </w:t>
            </w:r>
            <w:r w:rsidR="00576DB2" w:rsidRPr="009851BF">
              <w:rPr>
                <w:rFonts w:asciiTheme="minorHAnsi" w:hAnsiTheme="minorHAnsi" w:cstheme="minorHAnsi"/>
                <w:bCs/>
                <w:sz w:val="20"/>
                <w:szCs w:val="20"/>
                <w:lang w:eastAsia="en-US"/>
              </w:rPr>
              <w:t>teaching, assessment and feedback.</w:t>
            </w:r>
          </w:p>
          <w:p w14:paraId="5680F860" w14:textId="79D3859A" w:rsidR="00576DB2" w:rsidRPr="009851BF" w:rsidRDefault="00576DB2" w:rsidP="009D20BC">
            <w:pPr>
              <w:rPr>
                <w:rFonts w:asciiTheme="minorHAnsi" w:hAnsiTheme="minorHAnsi" w:cstheme="minorHAnsi"/>
                <w:b/>
                <w:sz w:val="20"/>
                <w:szCs w:val="20"/>
                <w:u w:val="single"/>
                <w:lang w:eastAsia="en-US"/>
              </w:rPr>
            </w:pPr>
            <w:r w:rsidRPr="009851BF">
              <w:rPr>
                <w:rFonts w:asciiTheme="minorHAnsi" w:hAnsiTheme="minorHAnsi" w:cstheme="minorHAnsi"/>
                <w:b/>
                <w:sz w:val="20"/>
                <w:szCs w:val="20"/>
                <w:u w:val="single"/>
                <w:lang w:eastAsia="en-US"/>
              </w:rPr>
              <w:t>Desired Outcome: Improve attainment for disadvantaged students through extending the school day (EEF +3 months)</w:t>
            </w:r>
          </w:p>
          <w:p w14:paraId="42B95DCE" w14:textId="78AF5421" w:rsidR="00576DB2" w:rsidRPr="009851BF" w:rsidRDefault="00576DB2" w:rsidP="009D20BC">
            <w:pPr>
              <w:rPr>
                <w:rFonts w:asciiTheme="minorHAnsi" w:hAnsiTheme="minorHAnsi" w:cstheme="minorHAnsi"/>
                <w:bCs/>
                <w:sz w:val="20"/>
                <w:szCs w:val="20"/>
                <w:u w:val="single"/>
                <w:lang w:eastAsia="en-US"/>
              </w:rPr>
            </w:pPr>
            <w:r w:rsidRPr="009851BF">
              <w:rPr>
                <w:rFonts w:asciiTheme="minorHAnsi" w:hAnsiTheme="minorHAnsi" w:cstheme="minorHAnsi"/>
                <w:bCs/>
                <w:sz w:val="20"/>
                <w:szCs w:val="20"/>
                <w:u w:val="single"/>
                <w:lang w:eastAsia="en-US"/>
              </w:rPr>
              <w:t xml:space="preserve">Approaches: </w:t>
            </w:r>
          </w:p>
          <w:p w14:paraId="793B5C69" w14:textId="3EE26A08" w:rsidR="00576DB2" w:rsidRPr="009851BF" w:rsidRDefault="00576DB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School day extended from 25 teaching periods per week to 28, giving greater curriculum time to English, mathematics and science.</w:t>
            </w:r>
          </w:p>
          <w:p w14:paraId="0F0A82D6" w14:textId="6BD3F8B0" w:rsidR="00576DB2" w:rsidRPr="009851BF" w:rsidRDefault="00576DB2" w:rsidP="009D20BC">
            <w:pPr>
              <w:rPr>
                <w:rFonts w:asciiTheme="minorHAnsi" w:hAnsiTheme="minorHAnsi" w:cstheme="minorHAnsi"/>
                <w:bCs/>
                <w:sz w:val="20"/>
                <w:szCs w:val="20"/>
                <w:u w:val="single"/>
                <w:lang w:eastAsia="en-US"/>
              </w:rPr>
            </w:pPr>
            <w:r w:rsidRPr="009851BF">
              <w:rPr>
                <w:rFonts w:asciiTheme="minorHAnsi" w:hAnsiTheme="minorHAnsi" w:cstheme="minorHAnsi"/>
                <w:bCs/>
                <w:sz w:val="20"/>
                <w:szCs w:val="20"/>
                <w:u w:val="single"/>
                <w:lang w:eastAsia="en-US"/>
              </w:rPr>
              <w:t>Impact:</w:t>
            </w:r>
          </w:p>
          <w:tbl>
            <w:tblPr>
              <w:tblStyle w:val="TableGrid"/>
              <w:tblW w:w="0" w:type="auto"/>
              <w:tblLook w:val="04A0" w:firstRow="1" w:lastRow="0" w:firstColumn="1" w:lastColumn="0" w:noHBand="0" w:noVBand="1"/>
            </w:tblPr>
            <w:tblGrid>
              <w:gridCol w:w="1577"/>
              <w:gridCol w:w="1935"/>
              <w:gridCol w:w="1750"/>
              <w:gridCol w:w="1984"/>
              <w:gridCol w:w="2021"/>
            </w:tblGrid>
            <w:tr w:rsidR="00AA6052" w:rsidRPr="009851BF" w14:paraId="0A0416E9" w14:textId="11FA6AB5" w:rsidTr="00AA6052">
              <w:tc>
                <w:tcPr>
                  <w:tcW w:w="1577" w:type="dxa"/>
                </w:tcPr>
                <w:p w14:paraId="7FC1C004" w14:textId="3CC91125"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Subject</w:t>
                  </w:r>
                </w:p>
              </w:tc>
              <w:tc>
                <w:tcPr>
                  <w:tcW w:w="1935" w:type="dxa"/>
                </w:tcPr>
                <w:p w14:paraId="46F04A98" w14:textId="409FCFA7"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5+ 2019 all students (DP)</w:t>
                  </w:r>
                </w:p>
              </w:tc>
              <w:tc>
                <w:tcPr>
                  <w:tcW w:w="1750" w:type="dxa"/>
                </w:tcPr>
                <w:p w14:paraId="0B6A8DDA" w14:textId="1601FE5E"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5+ 2022 all students (DP)</w:t>
                  </w:r>
                </w:p>
              </w:tc>
              <w:tc>
                <w:tcPr>
                  <w:tcW w:w="1984" w:type="dxa"/>
                </w:tcPr>
                <w:p w14:paraId="11D09580" w14:textId="42D8F56B"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Average grade all students 2019 (DP)</w:t>
                  </w:r>
                </w:p>
              </w:tc>
              <w:tc>
                <w:tcPr>
                  <w:tcW w:w="2021" w:type="dxa"/>
                </w:tcPr>
                <w:p w14:paraId="4EDC4C50" w14:textId="48BF44A5"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Average grade all students 2022 (DP)</w:t>
                  </w:r>
                </w:p>
              </w:tc>
            </w:tr>
            <w:tr w:rsidR="00AA6052" w:rsidRPr="009851BF" w14:paraId="4F6FD390" w14:textId="746884FE" w:rsidTr="00AA6052">
              <w:tc>
                <w:tcPr>
                  <w:tcW w:w="1577" w:type="dxa"/>
                </w:tcPr>
                <w:p w14:paraId="59EFA017" w14:textId="0974F600"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English</w:t>
                  </w:r>
                </w:p>
              </w:tc>
              <w:tc>
                <w:tcPr>
                  <w:tcW w:w="1935" w:type="dxa"/>
                </w:tcPr>
                <w:p w14:paraId="58DD7C14" w14:textId="69409866"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37%</w:t>
                  </w:r>
                  <w:r w:rsidR="00115FA3" w:rsidRPr="009851BF">
                    <w:rPr>
                      <w:rFonts w:asciiTheme="minorHAnsi" w:hAnsiTheme="minorHAnsi" w:cstheme="minorHAnsi"/>
                      <w:bCs/>
                      <w:sz w:val="20"/>
                      <w:szCs w:val="20"/>
                      <w:lang w:eastAsia="en-US"/>
                    </w:rPr>
                    <w:t xml:space="preserve"> (28%)</w:t>
                  </w:r>
                </w:p>
              </w:tc>
              <w:tc>
                <w:tcPr>
                  <w:tcW w:w="1750" w:type="dxa"/>
                </w:tcPr>
                <w:p w14:paraId="43EDF06B" w14:textId="097007DD"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50%</w:t>
                  </w:r>
                  <w:r w:rsidR="0013407E" w:rsidRPr="009851BF">
                    <w:rPr>
                      <w:rFonts w:asciiTheme="minorHAnsi" w:hAnsiTheme="minorHAnsi" w:cstheme="minorHAnsi"/>
                      <w:bCs/>
                      <w:sz w:val="20"/>
                      <w:szCs w:val="20"/>
                      <w:lang w:eastAsia="en-US"/>
                    </w:rPr>
                    <w:t xml:space="preserve"> (44%)</w:t>
                  </w:r>
                </w:p>
              </w:tc>
              <w:tc>
                <w:tcPr>
                  <w:tcW w:w="1984" w:type="dxa"/>
                </w:tcPr>
                <w:p w14:paraId="1A2D1AF4" w14:textId="3DF49A8A"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3.9</w:t>
                  </w:r>
                  <w:r w:rsidR="00115FA3" w:rsidRPr="009851BF">
                    <w:rPr>
                      <w:rFonts w:asciiTheme="minorHAnsi" w:hAnsiTheme="minorHAnsi" w:cstheme="minorHAnsi"/>
                      <w:bCs/>
                      <w:sz w:val="20"/>
                      <w:szCs w:val="20"/>
                      <w:lang w:eastAsia="en-US"/>
                    </w:rPr>
                    <w:t xml:space="preserve"> (</w:t>
                  </w:r>
                  <w:r w:rsidR="00F55205" w:rsidRPr="009851BF">
                    <w:rPr>
                      <w:rFonts w:asciiTheme="minorHAnsi" w:hAnsiTheme="minorHAnsi" w:cstheme="minorHAnsi"/>
                      <w:bCs/>
                      <w:sz w:val="20"/>
                      <w:szCs w:val="20"/>
                      <w:lang w:eastAsia="en-US"/>
                    </w:rPr>
                    <w:t>3.6)</w:t>
                  </w:r>
                </w:p>
              </w:tc>
              <w:tc>
                <w:tcPr>
                  <w:tcW w:w="2021" w:type="dxa"/>
                </w:tcPr>
                <w:p w14:paraId="68C30A65" w14:textId="6B867E05"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4.6</w:t>
                  </w:r>
                  <w:r w:rsidR="0013407E" w:rsidRPr="009851BF">
                    <w:rPr>
                      <w:rFonts w:asciiTheme="minorHAnsi" w:hAnsiTheme="minorHAnsi" w:cstheme="minorHAnsi"/>
                      <w:bCs/>
                      <w:sz w:val="20"/>
                      <w:szCs w:val="20"/>
                      <w:lang w:eastAsia="en-US"/>
                    </w:rPr>
                    <w:t xml:space="preserve"> (4.24)</w:t>
                  </w:r>
                </w:p>
              </w:tc>
            </w:tr>
            <w:tr w:rsidR="00AA6052" w:rsidRPr="009851BF" w14:paraId="7CE92CE0" w14:textId="1D72A3ED" w:rsidTr="00AA6052">
              <w:tc>
                <w:tcPr>
                  <w:tcW w:w="1577" w:type="dxa"/>
                </w:tcPr>
                <w:p w14:paraId="10141BC0" w14:textId="7251BACB"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Mathematics</w:t>
                  </w:r>
                </w:p>
              </w:tc>
              <w:tc>
                <w:tcPr>
                  <w:tcW w:w="1935" w:type="dxa"/>
                </w:tcPr>
                <w:p w14:paraId="6E793F75" w14:textId="01FF670A"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32%</w:t>
                  </w:r>
                  <w:r w:rsidR="00115FA3" w:rsidRPr="009851BF">
                    <w:rPr>
                      <w:rFonts w:asciiTheme="minorHAnsi" w:hAnsiTheme="minorHAnsi" w:cstheme="minorHAnsi"/>
                      <w:bCs/>
                      <w:sz w:val="20"/>
                      <w:szCs w:val="20"/>
                      <w:lang w:eastAsia="en-US"/>
                    </w:rPr>
                    <w:t xml:space="preserve"> (23</w:t>
                  </w:r>
                  <w:r w:rsidR="0013407E" w:rsidRPr="009851BF">
                    <w:rPr>
                      <w:rFonts w:asciiTheme="minorHAnsi" w:hAnsiTheme="minorHAnsi" w:cstheme="minorHAnsi"/>
                      <w:bCs/>
                      <w:sz w:val="20"/>
                      <w:szCs w:val="20"/>
                      <w:lang w:eastAsia="en-US"/>
                    </w:rPr>
                    <w:t>%</w:t>
                  </w:r>
                  <w:r w:rsidR="00115FA3" w:rsidRPr="009851BF">
                    <w:rPr>
                      <w:rFonts w:asciiTheme="minorHAnsi" w:hAnsiTheme="minorHAnsi" w:cstheme="minorHAnsi"/>
                      <w:bCs/>
                      <w:sz w:val="20"/>
                      <w:szCs w:val="20"/>
                      <w:lang w:eastAsia="en-US"/>
                    </w:rPr>
                    <w:t>)</w:t>
                  </w:r>
                </w:p>
              </w:tc>
              <w:tc>
                <w:tcPr>
                  <w:tcW w:w="1750" w:type="dxa"/>
                </w:tcPr>
                <w:p w14:paraId="3C8459E0" w14:textId="098E4CA3"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45%</w:t>
                  </w:r>
                  <w:r w:rsidR="0013407E" w:rsidRPr="009851BF">
                    <w:rPr>
                      <w:rFonts w:asciiTheme="minorHAnsi" w:hAnsiTheme="minorHAnsi" w:cstheme="minorHAnsi"/>
                      <w:bCs/>
                      <w:sz w:val="20"/>
                      <w:szCs w:val="20"/>
                      <w:lang w:eastAsia="en-US"/>
                    </w:rPr>
                    <w:t xml:space="preserve"> (35%)</w:t>
                  </w:r>
                </w:p>
              </w:tc>
              <w:tc>
                <w:tcPr>
                  <w:tcW w:w="1984" w:type="dxa"/>
                </w:tcPr>
                <w:p w14:paraId="3C78AF48" w14:textId="59C1B344"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3.6</w:t>
                  </w:r>
                  <w:r w:rsidR="00F55205" w:rsidRPr="009851BF">
                    <w:rPr>
                      <w:rFonts w:asciiTheme="minorHAnsi" w:hAnsiTheme="minorHAnsi" w:cstheme="minorHAnsi"/>
                      <w:bCs/>
                      <w:sz w:val="20"/>
                      <w:szCs w:val="20"/>
                      <w:lang w:eastAsia="en-US"/>
                    </w:rPr>
                    <w:t xml:space="preserve"> (3.3)</w:t>
                  </w:r>
                </w:p>
              </w:tc>
              <w:tc>
                <w:tcPr>
                  <w:tcW w:w="2021" w:type="dxa"/>
                </w:tcPr>
                <w:p w14:paraId="52078FC4" w14:textId="7685B1B5"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4.2</w:t>
                  </w:r>
                  <w:r w:rsidR="0013407E" w:rsidRPr="009851BF">
                    <w:rPr>
                      <w:rFonts w:asciiTheme="minorHAnsi" w:hAnsiTheme="minorHAnsi" w:cstheme="minorHAnsi"/>
                      <w:bCs/>
                      <w:sz w:val="20"/>
                      <w:szCs w:val="20"/>
                      <w:lang w:eastAsia="en-US"/>
                    </w:rPr>
                    <w:t xml:space="preserve"> (3.76)</w:t>
                  </w:r>
                </w:p>
              </w:tc>
            </w:tr>
            <w:tr w:rsidR="00AA6052" w:rsidRPr="009851BF" w14:paraId="3B5DEAA7" w14:textId="072335C9" w:rsidTr="00AA6052">
              <w:tc>
                <w:tcPr>
                  <w:tcW w:w="1577" w:type="dxa"/>
                </w:tcPr>
                <w:p w14:paraId="186B97C5" w14:textId="656F0F93" w:rsidR="00AA6052" w:rsidRPr="009851BF" w:rsidRDefault="00AA6052"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Science</w:t>
                  </w:r>
                </w:p>
              </w:tc>
              <w:tc>
                <w:tcPr>
                  <w:tcW w:w="1935" w:type="dxa"/>
                </w:tcPr>
                <w:p w14:paraId="72AA26EC" w14:textId="64C40AA3" w:rsidR="00AA6052" w:rsidRPr="009851BF" w:rsidRDefault="00115FA3"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25% (17%)</w:t>
                  </w:r>
                </w:p>
              </w:tc>
              <w:tc>
                <w:tcPr>
                  <w:tcW w:w="1750" w:type="dxa"/>
                </w:tcPr>
                <w:p w14:paraId="04A41B15" w14:textId="0E88CE6E" w:rsidR="00AA6052" w:rsidRPr="009851BF" w:rsidRDefault="0013407E"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32% (25%)</w:t>
                  </w:r>
                </w:p>
              </w:tc>
              <w:tc>
                <w:tcPr>
                  <w:tcW w:w="1984" w:type="dxa"/>
                </w:tcPr>
                <w:p w14:paraId="26AFA51C" w14:textId="1E8A3D93" w:rsidR="00AA6052" w:rsidRPr="009851BF" w:rsidRDefault="0013407E"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 xml:space="preserve">3.75 </w:t>
                  </w:r>
                  <w:r w:rsidR="00F55205" w:rsidRPr="009851BF">
                    <w:rPr>
                      <w:rFonts w:asciiTheme="minorHAnsi" w:hAnsiTheme="minorHAnsi" w:cstheme="minorHAnsi"/>
                      <w:bCs/>
                      <w:sz w:val="20"/>
                      <w:szCs w:val="20"/>
                      <w:lang w:eastAsia="en-US"/>
                    </w:rPr>
                    <w:t>(3.</w:t>
                  </w:r>
                  <w:r w:rsidRPr="009851BF">
                    <w:rPr>
                      <w:rFonts w:asciiTheme="minorHAnsi" w:hAnsiTheme="minorHAnsi" w:cstheme="minorHAnsi"/>
                      <w:bCs/>
                      <w:sz w:val="20"/>
                      <w:szCs w:val="20"/>
                      <w:lang w:eastAsia="en-US"/>
                    </w:rPr>
                    <w:t>4)</w:t>
                  </w:r>
                </w:p>
              </w:tc>
              <w:tc>
                <w:tcPr>
                  <w:tcW w:w="2021" w:type="dxa"/>
                </w:tcPr>
                <w:p w14:paraId="6CD322DA" w14:textId="658BC26F" w:rsidR="00AA6052" w:rsidRPr="009851BF" w:rsidRDefault="0013407E"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4.3 (3.87)</w:t>
                  </w:r>
                </w:p>
              </w:tc>
            </w:tr>
          </w:tbl>
          <w:p w14:paraId="3DF87059" w14:textId="183F7D0E" w:rsidR="00576DB2" w:rsidRPr="009851BF" w:rsidRDefault="00DF5D06" w:rsidP="009D20BC">
            <w:pPr>
              <w:rPr>
                <w:rFonts w:asciiTheme="minorHAnsi" w:hAnsiTheme="minorHAnsi" w:cstheme="minorHAnsi"/>
                <w:bCs/>
                <w:sz w:val="20"/>
                <w:szCs w:val="20"/>
                <w:u w:val="single"/>
                <w:lang w:eastAsia="en-US"/>
              </w:rPr>
            </w:pPr>
            <w:r w:rsidRPr="009851BF">
              <w:rPr>
                <w:rFonts w:asciiTheme="minorHAnsi" w:hAnsiTheme="minorHAnsi" w:cstheme="minorHAnsi"/>
                <w:bCs/>
                <w:sz w:val="20"/>
                <w:szCs w:val="20"/>
                <w:u w:val="single"/>
                <w:lang w:eastAsia="en-US"/>
              </w:rPr>
              <w:t>Next steps:</w:t>
            </w:r>
          </w:p>
          <w:p w14:paraId="1DE2C985" w14:textId="0BC9FDE1" w:rsidR="009215CA" w:rsidRPr="009851BF" w:rsidRDefault="00DF5D06"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Continue with extended school day.</w:t>
            </w:r>
          </w:p>
          <w:p w14:paraId="005303EB" w14:textId="3AAC7A4D" w:rsidR="00DF5D06" w:rsidRPr="009851BF" w:rsidRDefault="00DF5D06" w:rsidP="009D20BC">
            <w:pPr>
              <w:rPr>
                <w:rFonts w:asciiTheme="minorHAnsi" w:hAnsiTheme="minorHAnsi" w:cstheme="minorHAnsi"/>
                <w:bCs/>
                <w:sz w:val="20"/>
                <w:szCs w:val="20"/>
                <w:lang w:eastAsia="en-US"/>
              </w:rPr>
            </w:pPr>
            <w:r w:rsidRPr="009851BF">
              <w:rPr>
                <w:rFonts w:asciiTheme="minorHAnsi" w:hAnsiTheme="minorHAnsi" w:cstheme="minorHAnsi"/>
                <w:bCs/>
                <w:sz w:val="20"/>
                <w:szCs w:val="20"/>
                <w:lang w:eastAsia="en-US"/>
              </w:rPr>
              <w:t>Develop the extra curricular offer further to widen opportunities for cultural development within the extended curriculum.</w:t>
            </w:r>
          </w:p>
          <w:p w14:paraId="56377AC9" w14:textId="633FFBF5" w:rsidR="00D10734" w:rsidRPr="009851BF" w:rsidRDefault="00367C65" w:rsidP="009D20BC">
            <w:pPr>
              <w:rPr>
                <w:rFonts w:asciiTheme="minorHAnsi" w:hAnsiTheme="minorHAnsi" w:cstheme="minorHAnsi"/>
                <w:b/>
                <w:sz w:val="20"/>
                <w:szCs w:val="20"/>
                <w:u w:val="single"/>
                <w:lang w:eastAsia="en-US"/>
              </w:rPr>
            </w:pPr>
            <w:r w:rsidRPr="009851BF">
              <w:rPr>
                <w:rFonts w:asciiTheme="minorHAnsi" w:hAnsiTheme="minorHAnsi" w:cstheme="minorHAnsi"/>
                <w:b/>
                <w:sz w:val="20"/>
                <w:szCs w:val="20"/>
                <w:u w:val="single"/>
                <w:lang w:eastAsia="en-US"/>
              </w:rPr>
              <w:t>Targeted support:</w:t>
            </w:r>
          </w:p>
          <w:p w14:paraId="10B382BA" w14:textId="0F5EA9E2" w:rsidR="00367C65" w:rsidRPr="009851BF" w:rsidRDefault="00367C65" w:rsidP="009D20BC">
            <w:pPr>
              <w:rPr>
                <w:rFonts w:asciiTheme="minorHAnsi" w:hAnsiTheme="minorHAnsi" w:cstheme="minorHAnsi"/>
                <w:b/>
                <w:sz w:val="20"/>
                <w:szCs w:val="20"/>
                <w:u w:val="single"/>
                <w:lang w:eastAsia="en-US"/>
              </w:rPr>
            </w:pPr>
            <w:r w:rsidRPr="009851BF">
              <w:rPr>
                <w:rFonts w:asciiTheme="minorHAnsi" w:hAnsiTheme="minorHAnsi" w:cstheme="minorHAnsi"/>
                <w:b/>
                <w:sz w:val="20"/>
                <w:szCs w:val="20"/>
                <w:u w:val="single"/>
                <w:lang w:eastAsia="en-US"/>
              </w:rPr>
              <w:t>Desired outcome: Attendance for disadvantaged students to be in line with national average for other students.</w:t>
            </w:r>
          </w:p>
          <w:p w14:paraId="3DA7EBDD" w14:textId="608DC60F" w:rsidR="00367C65" w:rsidRPr="009851BF" w:rsidRDefault="00367C65"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Approaches:</w:t>
            </w:r>
          </w:p>
          <w:p w14:paraId="2C44583C" w14:textId="5F73DF76" w:rsidR="00367C65" w:rsidRPr="009851BF" w:rsidRDefault="00367C65"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Increased number of attendance officers (1 per year group)</w:t>
            </w:r>
          </w:p>
          <w:p w14:paraId="7B508A47" w14:textId="1CC5FC16" w:rsidR="00367C65" w:rsidRPr="009851BF" w:rsidRDefault="00367C65"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Welfare coordinators – Pastoral focus, behaviour mentoring and exclusion reduction</w:t>
            </w:r>
          </w:p>
          <w:p w14:paraId="5D0BAF2D" w14:textId="7BCE2B46" w:rsidR="00367C65" w:rsidRPr="009851BF" w:rsidRDefault="00367C65"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Counselling provision</w:t>
            </w:r>
          </w:p>
          <w:p w14:paraId="2F5F10DF" w14:textId="3F6645DB" w:rsidR="00367C65" w:rsidRPr="009851BF" w:rsidRDefault="00367C65"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School uniform provision and hardship fund</w:t>
            </w:r>
          </w:p>
          <w:p w14:paraId="5192CB15" w14:textId="58A638B0" w:rsidR="00367C65" w:rsidRPr="009851BF" w:rsidRDefault="00367C65"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Impact:</w:t>
            </w:r>
          </w:p>
          <w:p w14:paraId="7CA164E9" w14:textId="2A5BB34E" w:rsidR="00C13A40" w:rsidRPr="009851BF" w:rsidRDefault="00DF5D06"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 xml:space="preserve">Attendance for disadvantage students </w:t>
            </w:r>
            <w:r w:rsidR="003A084C" w:rsidRPr="009851BF">
              <w:rPr>
                <w:rFonts w:asciiTheme="minorHAnsi" w:hAnsiTheme="minorHAnsi" w:cstheme="minorHAnsi"/>
                <w:sz w:val="20"/>
                <w:szCs w:val="20"/>
                <w:lang w:eastAsia="en-US"/>
              </w:rPr>
              <w:t>at Dixons Brooklands Academy was 85.1</w:t>
            </w:r>
            <w:r w:rsidRPr="009851BF">
              <w:rPr>
                <w:rFonts w:asciiTheme="minorHAnsi" w:hAnsiTheme="minorHAnsi" w:cstheme="minorHAnsi"/>
                <w:sz w:val="20"/>
                <w:szCs w:val="20"/>
                <w:lang w:eastAsia="en-US"/>
              </w:rPr>
              <w:t xml:space="preserve">%, national average </w:t>
            </w:r>
            <w:r w:rsidR="003A084C" w:rsidRPr="009851BF">
              <w:rPr>
                <w:rFonts w:asciiTheme="minorHAnsi" w:hAnsiTheme="minorHAnsi" w:cstheme="minorHAnsi"/>
                <w:sz w:val="20"/>
                <w:szCs w:val="20"/>
                <w:lang w:eastAsia="en-US"/>
              </w:rPr>
              <w:t>attendance was 80.8</w:t>
            </w:r>
            <w:r w:rsidRPr="009851BF">
              <w:rPr>
                <w:rFonts w:asciiTheme="minorHAnsi" w:hAnsiTheme="minorHAnsi" w:cstheme="minorHAnsi"/>
                <w:sz w:val="20"/>
                <w:szCs w:val="20"/>
                <w:lang w:eastAsia="en-US"/>
              </w:rPr>
              <w:t>%</w:t>
            </w:r>
            <w:r w:rsidR="003A084C" w:rsidRPr="009851BF">
              <w:rPr>
                <w:rFonts w:asciiTheme="minorHAnsi" w:hAnsiTheme="minorHAnsi" w:cstheme="minorHAnsi"/>
                <w:sz w:val="20"/>
                <w:szCs w:val="20"/>
                <w:lang w:eastAsia="en-US"/>
              </w:rPr>
              <w:t>.</w:t>
            </w:r>
          </w:p>
          <w:p w14:paraId="1CE77C87" w14:textId="7DCF4802" w:rsidR="002512D4" w:rsidRPr="009851BF" w:rsidRDefault="00890C23"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 xml:space="preserve">Next steps: </w:t>
            </w:r>
          </w:p>
          <w:p w14:paraId="140A62E0" w14:textId="6E8C6BE9" w:rsidR="00890C23" w:rsidRPr="009851BF" w:rsidRDefault="00890C23"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 xml:space="preserve">Continue to take a proactive approach to ensuring high levels of attendance, with early identification, individual strategies and rigorous scrutiny of attendance data. </w:t>
            </w:r>
          </w:p>
          <w:p w14:paraId="1C14B851" w14:textId="66B53338" w:rsidR="00BC16D0" w:rsidRPr="009851BF" w:rsidRDefault="00BC16D0"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Work with the early help process to remove barriers to attendance.</w:t>
            </w:r>
          </w:p>
          <w:p w14:paraId="27B9252F" w14:textId="54F069B8" w:rsidR="000255A9" w:rsidRPr="009851BF" w:rsidRDefault="000255A9" w:rsidP="009D20BC">
            <w:pPr>
              <w:rPr>
                <w:rFonts w:asciiTheme="minorHAnsi" w:hAnsiTheme="minorHAnsi" w:cstheme="minorHAnsi"/>
                <w:b/>
                <w:sz w:val="20"/>
                <w:szCs w:val="20"/>
                <w:u w:val="single"/>
                <w:lang w:eastAsia="en-US"/>
              </w:rPr>
            </w:pPr>
            <w:r w:rsidRPr="009851BF">
              <w:rPr>
                <w:rFonts w:asciiTheme="minorHAnsi" w:hAnsiTheme="minorHAnsi" w:cstheme="minorHAnsi"/>
                <w:b/>
                <w:sz w:val="20"/>
                <w:szCs w:val="20"/>
                <w:u w:val="single"/>
                <w:lang w:eastAsia="en-US"/>
              </w:rPr>
              <w:t>Desired outcome: Improve progress and attainment for disadvantaged students with identified gaps in English, mathematics</w:t>
            </w:r>
            <w:r w:rsidR="00BC16D0" w:rsidRPr="009851BF">
              <w:rPr>
                <w:rFonts w:asciiTheme="minorHAnsi" w:hAnsiTheme="minorHAnsi" w:cstheme="minorHAnsi"/>
                <w:b/>
                <w:sz w:val="20"/>
                <w:szCs w:val="20"/>
                <w:u w:val="single"/>
                <w:lang w:eastAsia="en-US"/>
              </w:rPr>
              <w:t xml:space="preserve">, </w:t>
            </w:r>
            <w:r w:rsidRPr="009851BF">
              <w:rPr>
                <w:rFonts w:asciiTheme="minorHAnsi" w:hAnsiTheme="minorHAnsi" w:cstheme="minorHAnsi"/>
                <w:b/>
                <w:sz w:val="20"/>
                <w:szCs w:val="20"/>
                <w:u w:val="single"/>
                <w:lang w:eastAsia="en-US"/>
              </w:rPr>
              <w:t>science</w:t>
            </w:r>
            <w:r w:rsidR="00BC16D0" w:rsidRPr="009851BF">
              <w:rPr>
                <w:rFonts w:asciiTheme="minorHAnsi" w:hAnsiTheme="minorHAnsi" w:cstheme="minorHAnsi"/>
                <w:b/>
                <w:sz w:val="20"/>
                <w:szCs w:val="20"/>
                <w:u w:val="single"/>
                <w:lang w:eastAsia="en-US"/>
              </w:rPr>
              <w:t>, humanities and Spanish</w:t>
            </w:r>
            <w:r w:rsidRPr="009851BF">
              <w:rPr>
                <w:rFonts w:asciiTheme="minorHAnsi" w:hAnsiTheme="minorHAnsi" w:cstheme="minorHAnsi"/>
                <w:b/>
                <w:sz w:val="20"/>
                <w:szCs w:val="20"/>
                <w:u w:val="single"/>
                <w:lang w:eastAsia="en-US"/>
              </w:rPr>
              <w:t>.</w:t>
            </w:r>
          </w:p>
          <w:p w14:paraId="1F2747A2" w14:textId="33B27B67" w:rsidR="000255A9" w:rsidRPr="009851BF" w:rsidRDefault="000255A9"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 xml:space="preserve">Approaches: Use of tutors in the </w:t>
            </w:r>
            <w:r w:rsidR="00BC16D0" w:rsidRPr="009851BF">
              <w:rPr>
                <w:rFonts w:asciiTheme="minorHAnsi" w:hAnsiTheme="minorHAnsi" w:cstheme="minorHAnsi"/>
                <w:sz w:val="20"/>
                <w:szCs w:val="20"/>
                <w:lang w:eastAsia="en-US"/>
              </w:rPr>
              <w:t>ebacc</w:t>
            </w:r>
            <w:r w:rsidRPr="009851BF">
              <w:rPr>
                <w:rFonts w:asciiTheme="minorHAnsi" w:hAnsiTheme="minorHAnsi" w:cstheme="minorHAnsi"/>
                <w:sz w:val="20"/>
                <w:szCs w:val="20"/>
                <w:lang w:eastAsia="en-US"/>
              </w:rPr>
              <w:t xml:space="preserve"> subjects. Question level analysis from summative testing used to target tutoring in specific, identified areas of weakness. Tutoring to take place in 10 week blocks with 2-4 sessions per week.</w:t>
            </w:r>
          </w:p>
          <w:p w14:paraId="2E3A48A4" w14:textId="79B3C8D6" w:rsidR="000255A9" w:rsidRPr="009851BF" w:rsidRDefault="000255A9" w:rsidP="009D20BC">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Impact:</w:t>
            </w:r>
          </w:p>
          <w:p w14:paraId="2B7FF67D" w14:textId="77777777" w:rsidR="003A084C" w:rsidRPr="009851BF" w:rsidRDefault="003A084C" w:rsidP="003A084C">
            <w:pPr>
              <w:pStyle w:val="NormalWeb"/>
              <w:rPr>
                <w:rFonts w:asciiTheme="minorHAnsi" w:hAnsiTheme="minorHAnsi" w:cstheme="minorHAnsi"/>
                <w:color w:val="000000"/>
                <w:sz w:val="20"/>
                <w:szCs w:val="20"/>
              </w:rPr>
            </w:pPr>
            <w:r w:rsidRPr="009851BF">
              <w:rPr>
                <w:rFonts w:asciiTheme="minorHAnsi" w:hAnsiTheme="minorHAnsi" w:cstheme="minorHAnsi"/>
                <w:color w:val="000000"/>
                <w:sz w:val="20"/>
                <w:szCs w:val="20"/>
              </w:rPr>
              <w:t>There were over 60 students who received interventions in English, Maths and Science in year 11. This was delivered in small groups of no more than 4 pupils, at least once per week over the course of at least one teaching cycle of 11 weeks.</w:t>
            </w:r>
          </w:p>
          <w:p w14:paraId="671FD128" w14:textId="77777777" w:rsidR="003A084C" w:rsidRPr="009851BF" w:rsidRDefault="003A084C" w:rsidP="003A084C">
            <w:pPr>
              <w:pStyle w:val="NormalWeb"/>
              <w:rPr>
                <w:rFonts w:asciiTheme="minorHAnsi" w:hAnsiTheme="minorHAnsi" w:cstheme="minorHAnsi"/>
                <w:color w:val="000000"/>
                <w:sz w:val="20"/>
                <w:szCs w:val="20"/>
              </w:rPr>
            </w:pPr>
            <w:r w:rsidRPr="009851BF">
              <w:rPr>
                <w:rFonts w:asciiTheme="minorHAnsi" w:hAnsiTheme="minorHAnsi" w:cstheme="minorHAnsi"/>
                <w:color w:val="000000"/>
                <w:sz w:val="20"/>
                <w:szCs w:val="20"/>
              </w:rPr>
              <w:t>In English, the average point score of students identified for intervention was 2.4 in the mock examinations with the average point score they achieved in the actual GCSE increasing to 3.7 (whole year group APS 4.31).</w:t>
            </w:r>
          </w:p>
          <w:p w14:paraId="4AA7CAC4" w14:textId="77777777" w:rsidR="003A084C" w:rsidRPr="009851BF" w:rsidRDefault="003A084C" w:rsidP="003A084C">
            <w:pPr>
              <w:pStyle w:val="NormalWeb"/>
              <w:rPr>
                <w:rFonts w:asciiTheme="minorHAnsi" w:hAnsiTheme="minorHAnsi" w:cstheme="minorHAnsi"/>
                <w:color w:val="000000"/>
                <w:sz w:val="20"/>
                <w:szCs w:val="20"/>
              </w:rPr>
            </w:pPr>
            <w:r w:rsidRPr="009851BF">
              <w:rPr>
                <w:rFonts w:asciiTheme="minorHAnsi" w:hAnsiTheme="minorHAnsi" w:cstheme="minorHAnsi"/>
                <w:color w:val="000000"/>
                <w:sz w:val="20"/>
                <w:szCs w:val="20"/>
              </w:rPr>
              <w:t>In Maths, the average mock exam point score of students identified for intervention was 3.4 with this increasing to 4.5 in the actual GCSE (whole year group 4.23).</w:t>
            </w:r>
          </w:p>
          <w:p w14:paraId="33CC0D29" w14:textId="53BA3CE1" w:rsidR="002512D4" w:rsidRPr="009851BF" w:rsidRDefault="003A084C" w:rsidP="004D0FFB">
            <w:pPr>
              <w:pStyle w:val="NormalWeb"/>
              <w:rPr>
                <w:rFonts w:asciiTheme="minorHAnsi" w:hAnsiTheme="minorHAnsi" w:cstheme="minorHAnsi"/>
                <w:color w:val="000000"/>
                <w:sz w:val="20"/>
                <w:szCs w:val="20"/>
              </w:rPr>
            </w:pPr>
            <w:r w:rsidRPr="009851BF">
              <w:rPr>
                <w:rFonts w:asciiTheme="minorHAnsi" w:hAnsiTheme="minorHAnsi" w:cstheme="minorHAnsi"/>
                <w:color w:val="000000"/>
                <w:sz w:val="20"/>
                <w:szCs w:val="20"/>
              </w:rPr>
              <w:t>In Science the average mock exam point score for students identified for intervention was 2.69 which increased to 4.7 in the GCSE exams (whole cohort 4.05).</w:t>
            </w:r>
          </w:p>
          <w:p w14:paraId="548A9DE8" w14:textId="1285D612" w:rsidR="00677C6A" w:rsidRPr="009851BF" w:rsidRDefault="00107116">
            <w:pPr>
              <w:rPr>
                <w:rFonts w:asciiTheme="minorHAnsi" w:hAnsiTheme="minorHAnsi" w:cstheme="minorHAnsi"/>
                <w:sz w:val="20"/>
                <w:szCs w:val="20"/>
                <w:lang w:eastAsia="en-US"/>
              </w:rPr>
            </w:pPr>
            <w:r w:rsidRPr="009851BF">
              <w:rPr>
                <w:rFonts w:asciiTheme="minorHAnsi" w:hAnsiTheme="minorHAnsi" w:cstheme="minorHAnsi"/>
                <w:sz w:val="20"/>
                <w:szCs w:val="20"/>
                <w:lang w:eastAsia="en-US"/>
              </w:rPr>
              <w:t xml:space="preserve">Further impact information for each year group receiving NTP and school led tutoring is available on request in the larger tutoring impact report document. </w:t>
            </w:r>
          </w:p>
          <w:p w14:paraId="2A7D5546" w14:textId="52860AE0" w:rsidR="000F0E75" w:rsidRPr="009851BF" w:rsidRDefault="000F0E75" w:rsidP="00BC16D0">
            <w:pPr>
              <w:rPr>
                <w:rFonts w:asciiTheme="minorHAnsi" w:hAnsiTheme="minorHAnsi" w:cstheme="minorHAnsi"/>
                <w:sz w:val="20"/>
                <w:szCs w:val="20"/>
              </w:rPr>
            </w:pPr>
          </w:p>
        </w:tc>
      </w:tr>
    </w:tbl>
    <w:p w14:paraId="2A7D5548" w14:textId="77777777" w:rsidR="00E66558" w:rsidRPr="009851BF" w:rsidRDefault="009D71E8">
      <w:pPr>
        <w:pStyle w:val="Heading2"/>
        <w:spacing w:before="600"/>
        <w:rPr>
          <w:rFonts w:asciiTheme="minorHAnsi" w:hAnsiTheme="minorHAnsi" w:cstheme="minorHAnsi"/>
          <w:sz w:val="20"/>
          <w:szCs w:val="20"/>
        </w:rPr>
      </w:pPr>
      <w:r w:rsidRPr="009851BF">
        <w:rPr>
          <w:rFonts w:asciiTheme="minorHAnsi" w:hAnsiTheme="minorHAnsi" w:cstheme="minorHAnsi"/>
          <w:sz w:val="20"/>
          <w:szCs w:val="20"/>
        </w:rPr>
        <w:t>Externally provided programmes</w:t>
      </w:r>
    </w:p>
    <w:p w14:paraId="2A7D5549" w14:textId="77777777" w:rsidR="00E66558" w:rsidRPr="009851BF" w:rsidRDefault="009D71E8">
      <w:pPr>
        <w:rPr>
          <w:rFonts w:asciiTheme="minorHAnsi" w:hAnsiTheme="minorHAnsi" w:cstheme="minorHAnsi"/>
          <w:i/>
          <w:iCs/>
          <w:sz w:val="20"/>
          <w:szCs w:val="20"/>
        </w:rPr>
      </w:pPr>
      <w:r w:rsidRPr="009851BF">
        <w:rPr>
          <w:rFonts w:asciiTheme="minorHAnsi" w:hAnsiTheme="minorHAnsi" w:cstheme="minorHAnsi"/>
          <w:i/>
          <w:iCs/>
          <w:sz w:val="20"/>
          <w:szCs w:val="20"/>
        </w:rPr>
        <w:t>Please include the names of any non-DfE programmes that you purchased in the previous academic year. This will help the Department for Education identify which ones are popular in England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15"/>
        <w:gridCol w:w="4671"/>
      </w:tblGrid>
      <w:tr w:rsidR="00E66558" w:rsidRPr="009851BF" w14:paraId="2A7D554C" w14:textId="77777777" w:rsidTr="002512D4">
        <w:tc>
          <w:tcPr>
            <w:tcW w:w="4815" w:type="dxa"/>
            <w:shd w:val="clear" w:color="auto" w:fill="D8E2E9"/>
            <w:tcMar>
              <w:top w:w="0" w:type="dxa"/>
              <w:left w:w="108" w:type="dxa"/>
              <w:bottom w:w="0" w:type="dxa"/>
              <w:right w:w="108" w:type="dxa"/>
            </w:tcMar>
          </w:tcPr>
          <w:p w14:paraId="2A7D554A" w14:textId="77777777" w:rsidR="00E66558" w:rsidRPr="009851BF" w:rsidRDefault="009D71E8">
            <w:pPr>
              <w:pStyle w:val="TableHeader"/>
              <w:jc w:val="left"/>
              <w:rPr>
                <w:rFonts w:asciiTheme="minorHAnsi" w:hAnsiTheme="minorHAnsi" w:cstheme="minorHAnsi"/>
                <w:sz w:val="20"/>
                <w:szCs w:val="20"/>
              </w:rPr>
            </w:pPr>
            <w:r w:rsidRPr="009851BF">
              <w:rPr>
                <w:rFonts w:asciiTheme="minorHAnsi" w:hAnsiTheme="minorHAnsi" w:cstheme="minorHAnsi"/>
                <w:sz w:val="20"/>
                <w:szCs w:val="20"/>
              </w:rPr>
              <w:t>Programme</w:t>
            </w:r>
          </w:p>
        </w:tc>
        <w:tc>
          <w:tcPr>
            <w:tcW w:w="4671" w:type="dxa"/>
            <w:shd w:val="clear" w:color="auto" w:fill="D8E2E9"/>
            <w:tcMar>
              <w:top w:w="0" w:type="dxa"/>
              <w:left w:w="108" w:type="dxa"/>
              <w:bottom w:w="0" w:type="dxa"/>
              <w:right w:w="108" w:type="dxa"/>
            </w:tcMar>
          </w:tcPr>
          <w:p w14:paraId="2A7D554B" w14:textId="77777777" w:rsidR="00E66558" w:rsidRPr="009851BF" w:rsidRDefault="009D71E8">
            <w:pPr>
              <w:pStyle w:val="TableHeader"/>
              <w:jc w:val="left"/>
              <w:rPr>
                <w:rFonts w:asciiTheme="minorHAnsi" w:hAnsiTheme="minorHAnsi" w:cstheme="minorHAnsi"/>
                <w:sz w:val="20"/>
                <w:szCs w:val="20"/>
              </w:rPr>
            </w:pPr>
            <w:r w:rsidRPr="009851BF">
              <w:rPr>
                <w:rFonts w:asciiTheme="minorHAnsi" w:hAnsiTheme="minorHAnsi" w:cstheme="minorHAnsi"/>
                <w:sz w:val="20"/>
                <w:szCs w:val="20"/>
              </w:rPr>
              <w:t>Provider</w:t>
            </w:r>
          </w:p>
        </w:tc>
      </w:tr>
      <w:tr w:rsidR="00E66558" w:rsidRPr="009851BF" w14:paraId="2A7D554F" w14:textId="77777777" w:rsidTr="002512D4">
        <w:tc>
          <w:tcPr>
            <w:tcW w:w="4815" w:type="dxa"/>
            <w:shd w:val="clear" w:color="auto" w:fill="auto"/>
            <w:tcMar>
              <w:top w:w="0" w:type="dxa"/>
              <w:left w:w="108" w:type="dxa"/>
              <w:bottom w:w="0" w:type="dxa"/>
              <w:right w:w="108" w:type="dxa"/>
            </w:tcMar>
          </w:tcPr>
          <w:p w14:paraId="2A7D554D" w14:textId="057AC840" w:rsidR="00E66558" w:rsidRPr="009851BF" w:rsidRDefault="00677C6A">
            <w:pPr>
              <w:pStyle w:val="TableRow"/>
              <w:rPr>
                <w:rFonts w:asciiTheme="minorHAnsi" w:hAnsiTheme="minorHAnsi" w:cstheme="minorHAnsi"/>
                <w:sz w:val="20"/>
                <w:szCs w:val="20"/>
              </w:rPr>
            </w:pPr>
            <w:r w:rsidRPr="009851BF">
              <w:rPr>
                <w:rFonts w:asciiTheme="minorHAnsi" w:hAnsiTheme="minorHAnsi" w:cstheme="minorHAnsi"/>
                <w:sz w:val="20"/>
                <w:szCs w:val="20"/>
              </w:rPr>
              <w:t>Accelerated reader and Myon</w:t>
            </w:r>
          </w:p>
        </w:tc>
        <w:tc>
          <w:tcPr>
            <w:tcW w:w="4671" w:type="dxa"/>
            <w:shd w:val="clear" w:color="auto" w:fill="auto"/>
            <w:tcMar>
              <w:top w:w="0" w:type="dxa"/>
              <w:left w:w="108" w:type="dxa"/>
              <w:bottom w:w="0" w:type="dxa"/>
              <w:right w:w="108" w:type="dxa"/>
            </w:tcMar>
          </w:tcPr>
          <w:p w14:paraId="2A7D554E" w14:textId="0549D1D9" w:rsidR="00E66558" w:rsidRPr="009851BF" w:rsidRDefault="00677C6A">
            <w:pPr>
              <w:pStyle w:val="TableRowCentered"/>
              <w:jc w:val="left"/>
              <w:rPr>
                <w:rFonts w:asciiTheme="minorHAnsi" w:hAnsiTheme="minorHAnsi" w:cstheme="minorHAnsi"/>
                <w:sz w:val="20"/>
              </w:rPr>
            </w:pPr>
            <w:r w:rsidRPr="009851BF">
              <w:rPr>
                <w:rFonts w:asciiTheme="minorHAnsi" w:hAnsiTheme="minorHAnsi" w:cstheme="minorHAnsi"/>
                <w:sz w:val="20"/>
              </w:rPr>
              <w:t>Renaissance</w:t>
            </w:r>
          </w:p>
        </w:tc>
      </w:tr>
      <w:tr w:rsidR="00E66558" w:rsidRPr="009851BF" w14:paraId="2A7D5552" w14:textId="77777777" w:rsidTr="002512D4">
        <w:tc>
          <w:tcPr>
            <w:tcW w:w="4815" w:type="dxa"/>
            <w:shd w:val="clear" w:color="auto" w:fill="auto"/>
            <w:tcMar>
              <w:top w:w="0" w:type="dxa"/>
              <w:left w:w="108" w:type="dxa"/>
              <w:bottom w:w="0" w:type="dxa"/>
              <w:right w:w="108" w:type="dxa"/>
            </w:tcMar>
          </w:tcPr>
          <w:p w14:paraId="2A7D5550" w14:textId="2E382F77" w:rsidR="00E66558" w:rsidRPr="009851BF" w:rsidRDefault="00677C6A">
            <w:pPr>
              <w:pStyle w:val="TableRow"/>
              <w:rPr>
                <w:rFonts w:asciiTheme="minorHAnsi" w:hAnsiTheme="minorHAnsi" w:cstheme="minorHAnsi"/>
                <w:sz w:val="20"/>
                <w:szCs w:val="20"/>
              </w:rPr>
            </w:pPr>
            <w:r w:rsidRPr="009851BF">
              <w:rPr>
                <w:rFonts w:asciiTheme="minorHAnsi" w:hAnsiTheme="minorHAnsi" w:cstheme="minorHAnsi"/>
                <w:sz w:val="20"/>
                <w:szCs w:val="20"/>
              </w:rPr>
              <w:t>Lexia</w:t>
            </w:r>
          </w:p>
        </w:tc>
        <w:tc>
          <w:tcPr>
            <w:tcW w:w="4671" w:type="dxa"/>
            <w:shd w:val="clear" w:color="auto" w:fill="auto"/>
            <w:tcMar>
              <w:top w:w="0" w:type="dxa"/>
              <w:left w:w="108" w:type="dxa"/>
              <w:bottom w:w="0" w:type="dxa"/>
              <w:right w:w="108" w:type="dxa"/>
            </w:tcMar>
          </w:tcPr>
          <w:p w14:paraId="2A7D5551" w14:textId="59B89754" w:rsidR="00E66558" w:rsidRPr="009851BF" w:rsidRDefault="00677C6A">
            <w:pPr>
              <w:pStyle w:val="TableRowCentered"/>
              <w:jc w:val="left"/>
              <w:rPr>
                <w:rFonts w:asciiTheme="minorHAnsi" w:hAnsiTheme="minorHAnsi" w:cstheme="minorHAnsi"/>
                <w:sz w:val="20"/>
              </w:rPr>
            </w:pPr>
            <w:r w:rsidRPr="009851BF">
              <w:rPr>
                <w:rFonts w:asciiTheme="minorHAnsi" w:hAnsiTheme="minorHAnsi" w:cstheme="minorHAnsi"/>
                <w:sz w:val="20"/>
              </w:rPr>
              <w:t>Lexia</w:t>
            </w:r>
          </w:p>
        </w:tc>
      </w:tr>
      <w:tr w:rsidR="00255895" w:rsidRPr="009851BF" w14:paraId="3BACFF6C" w14:textId="77777777" w:rsidTr="002512D4">
        <w:tc>
          <w:tcPr>
            <w:tcW w:w="4815" w:type="dxa"/>
            <w:shd w:val="clear" w:color="auto" w:fill="auto"/>
            <w:tcMar>
              <w:top w:w="0" w:type="dxa"/>
              <w:left w:w="108" w:type="dxa"/>
              <w:bottom w:w="0" w:type="dxa"/>
              <w:right w:w="108" w:type="dxa"/>
            </w:tcMar>
          </w:tcPr>
          <w:p w14:paraId="7283F443" w14:textId="318D765A" w:rsidR="00255895" w:rsidRPr="009851BF" w:rsidRDefault="00255895">
            <w:pPr>
              <w:pStyle w:val="TableRow"/>
              <w:rPr>
                <w:rFonts w:asciiTheme="minorHAnsi" w:hAnsiTheme="minorHAnsi" w:cstheme="minorHAnsi"/>
                <w:sz w:val="20"/>
                <w:szCs w:val="20"/>
              </w:rPr>
            </w:pPr>
            <w:r w:rsidRPr="009851BF">
              <w:rPr>
                <w:rFonts w:asciiTheme="minorHAnsi" w:hAnsiTheme="minorHAnsi" w:cstheme="minorHAnsi"/>
                <w:sz w:val="20"/>
                <w:szCs w:val="20"/>
              </w:rPr>
              <w:t>Lexonic</w:t>
            </w:r>
          </w:p>
        </w:tc>
        <w:tc>
          <w:tcPr>
            <w:tcW w:w="4671" w:type="dxa"/>
            <w:shd w:val="clear" w:color="auto" w:fill="auto"/>
            <w:tcMar>
              <w:top w:w="0" w:type="dxa"/>
              <w:left w:w="108" w:type="dxa"/>
              <w:bottom w:w="0" w:type="dxa"/>
              <w:right w:w="108" w:type="dxa"/>
            </w:tcMar>
          </w:tcPr>
          <w:p w14:paraId="4B3E9A29" w14:textId="1DA7B8EE" w:rsidR="00255895" w:rsidRPr="009851BF" w:rsidRDefault="00255895">
            <w:pPr>
              <w:pStyle w:val="TableRowCentered"/>
              <w:jc w:val="left"/>
              <w:rPr>
                <w:rFonts w:asciiTheme="minorHAnsi" w:hAnsiTheme="minorHAnsi" w:cstheme="minorHAnsi"/>
                <w:sz w:val="20"/>
              </w:rPr>
            </w:pPr>
            <w:r w:rsidRPr="009851BF">
              <w:rPr>
                <w:rFonts w:asciiTheme="minorHAnsi" w:hAnsiTheme="minorHAnsi" w:cstheme="minorHAnsi"/>
                <w:sz w:val="20"/>
              </w:rPr>
              <w:t>GL assessments</w:t>
            </w:r>
          </w:p>
        </w:tc>
      </w:tr>
    </w:tbl>
    <w:p w14:paraId="2A7D555E" w14:textId="77777777" w:rsidR="00E66558" w:rsidRDefault="00E66558"/>
    <w:p w14:paraId="2A7D555F" w14:textId="77777777" w:rsidR="00E66558" w:rsidRDefault="00E66558">
      <w:pPr>
        <w:spacing w:after="0" w:line="240" w:lineRule="auto"/>
      </w:pPr>
    </w:p>
    <w:p w14:paraId="2A7D5560" w14:textId="26D0DC01" w:rsidR="00E66558" w:rsidRDefault="00E66558">
      <w:pPr>
        <w:pStyle w:val="Heading1"/>
      </w:pPr>
    </w:p>
    <w:bookmarkEnd w:id="14"/>
    <w:bookmarkEnd w:id="15"/>
    <w:bookmarkEnd w:id="16"/>
    <w:p w14:paraId="2A7D5564" w14:textId="77777777" w:rsidR="00E66558" w:rsidRDefault="00E66558"/>
    <w:sectPr w:rsidR="00E66558">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AB570FA" w:rsidR="005E28A4" w:rsidRDefault="009D71E8">
    <w:pPr>
      <w:pStyle w:val="Footer"/>
      <w:ind w:firstLine="4513"/>
    </w:pPr>
    <w:r>
      <w:fldChar w:fldCharType="begin"/>
    </w:r>
    <w:r>
      <w:instrText xml:space="preserve"> PAGE </w:instrText>
    </w:r>
    <w:r>
      <w:fldChar w:fldCharType="separate"/>
    </w:r>
    <w:r w:rsidR="00E816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03F1AEB"/>
    <w:multiLevelType w:val="hybridMultilevel"/>
    <w:tmpl w:val="D47ADBFC"/>
    <w:lvl w:ilvl="0" w:tplc="C5A03194">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1C2606C"/>
    <w:multiLevelType w:val="hybridMultilevel"/>
    <w:tmpl w:val="B820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16DE5"/>
    <w:multiLevelType w:val="hybridMultilevel"/>
    <w:tmpl w:val="876CA422"/>
    <w:lvl w:ilvl="0" w:tplc="C5A0319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A40688A"/>
    <w:multiLevelType w:val="hybridMultilevel"/>
    <w:tmpl w:val="766A1DB6"/>
    <w:lvl w:ilvl="0" w:tplc="C5A0319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33684641">
    <w:abstractNumId w:val="3"/>
  </w:num>
  <w:num w:numId="2" w16cid:durableId="1712145715">
    <w:abstractNumId w:val="1"/>
  </w:num>
  <w:num w:numId="3" w16cid:durableId="1261068235">
    <w:abstractNumId w:val="4"/>
  </w:num>
  <w:num w:numId="4" w16cid:durableId="1175461143">
    <w:abstractNumId w:val="5"/>
  </w:num>
  <w:num w:numId="5" w16cid:durableId="1894730156">
    <w:abstractNumId w:val="0"/>
  </w:num>
  <w:num w:numId="6" w16cid:durableId="1374764919">
    <w:abstractNumId w:val="7"/>
  </w:num>
  <w:num w:numId="7" w16cid:durableId="986587952">
    <w:abstractNumId w:val="11"/>
  </w:num>
  <w:num w:numId="8" w16cid:durableId="134294623">
    <w:abstractNumId w:val="16"/>
  </w:num>
  <w:num w:numId="9" w16cid:durableId="21324032">
    <w:abstractNumId w:val="14"/>
  </w:num>
  <w:num w:numId="10" w16cid:durableId="1703558059">
    <w:abstractNumId w:val="13"/>
  </w:num>
  <w:num w:numId="11" w16cid:durableId="2008434639">
    <w:abstractNumId w:val="2"/>
  </w:num>
  <w:num w:numId="12" w16cid:durableId="1952980314">
    <w:abstractNumId w:val="15"/>
  </w:num>
  <w:num w:numId="13" w16cid:durableId="314187156">
    <w:abstractNumId w:val="10"/>
  </w:num>
  <w:num w:numId="14" w16cid:durableId="1942957289">
    <w:abstractNumId w:val="8"/>
  </w:num>
  <w:num w:numId="15" w16cid:durableId="1708873465">
    <w:abstractNumId w:val="12"/>
  </w:num>
  <w:num w:numId="16" w16cid:durableId="94785736">
    <w:abstractNumId w:val="6"/>
  </w:num>
  <w:num w:numId="17" w16cid:durableId="385102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970"/>
    <w:rsid w:val="00010AC1"/>
    <w:rsid w:val="000255A9"/>
    <w:rsid w:val="000262FB"/>
    <w:rsid w:val="00066B73"/>
    <w:rsid w:val="000A78AC"/>
    <w:rsid w:val="000B4FD1"/>
    <w:rsid w:val="000F0E75"/>
    <w:rsid w:val="000F3AB3"/>
    <w:rsid w:val="00107116"/>
    <w:rsid w:val="00115FA3"/>
    <w:rsid w:val="00120AB1"/>
    <w:rsid w:val="00123A97"/>
    <w:rsid w:val="00127564"/>
    <w:rsid w:val="0013407E"/>
    <w:rsid w:val="001439D5"/>
    <w:rsid w:val="00177F2C"/>
    <w:rsid w:val="00186622"/>
    <w:rsid w:val="001C4109"/>
    <w:rsid w:val="001C6FF8"/>
    <w:rsid w:val="001E220E"/>
    <w:rsid w:val="00201475"/>
    <w:rsid w:val="002512D4"/>
    <w:rsid w:val="00255895"/>
    <w:rsid w:val="002E43A9"/>
    <w:rsid w:val="003168D4"/>
    <w:rsid w:val="00347F53"/>
    <w:rsid w:val="00367C65"/>
    <w:rsid w:val="0039445C"/>
    <w:rsid w:val="003A084C"/>
    <w:rsid w:val="003C124E"/>
    <w:rsid w:val="004044AA"/>
    <w:rsid w:val="0041453F"/>
    <w:rsid w:val="00417654"/>
    <w:rsid w:val="00480E2F"/>
    <w:rsid w:val="004D0FFB"/>
    <w:rsid w:val="004E2499"/>
    <w:rsid w:val="004F542B"/>
    <w:rsid w:val="0050148C"/>
    <w:rsid w:val="00564F08"/>
    <w:rsid w:val="005668B3"/>
    <w:rsid w:val="00576DB2"/>
    <w:rsid w:val="00577507"/>
    <w:rsid w:val="00577806"/>
    <w:rsid w:val="0059186E"/>
    <w:rsid w:val="005C33E3"/>
    <w:rsid w:val="005D406F"/>
    <w:rsid w:val="005E4680"/>
    <w:rsid w:val="00666E08"/>
    <w:rsid w:val="00677C6A"/>
    <w:rsid w:val="006A58DC"/>
    <w:rsid w:val="006B5B25"/>
    <w:rsid w:val="006E7FB1"/>
    <w:rsid w:val="0071103A"/>
    <w:rsid w:val="00737F52"/>
    <w:rsid w:val="00741B9E"/>
    <w:rsid w:val="0074777E"/>
    <w:rsid w:val="00757A7F"/>
    <w:rsid w:val="00765B64"/>
    <w:rsid w:val="007B5CED"/>
    <w:rsid w:val="007C2F04"/>
    <w:rsid w:val="007D3830"/>
    <w:rsid w:val="007F4BC6"/>
    <w:rsid w:val="007F5436"/>
    <w:rsid w:val="00801052"/>
    <w:rsid w:val="00811820"/>
    <w:rsid w:val="00887367"/>
    <w:rsid w:val="00890C23"/>
    <w:rsid w:val="008D41B3"/>
    <w:rsid w:val="009215CA"/>
    <w:rsid w:val="009355B9"/>
    <w:rsid w:val="009561A1"/>
    <w:rsid w:val="00970510"/>
    <w:rsid w:val="009851BF"/>
    <w:rsid w:val="009B0308"/>
    <w:rsid w:val="009C3811"/>
    <w:rsid w:val="009D20BC"/>
    <w:rsid w:val="009D71E8"/>
    <w:rsid w:val="009E32D5"/>
    <w:rsid w:val="00A46355"/>
    <w:rsid w:val="00AA6052"/>
    <w:rsid w:val="00AA74F8"/>
    <w:rsid w:val="00AD761A"/>
    <w:rsid w:val="00AF46D9"/>
    <w:rsid w:val="00B57EEC"/>
    <w:rsid w:val="00BB1BA8"/>
    <w:rsid w:val="00BC16D0"/>
    <w:rsid w:val="00BF2EE7"/>
    <w:rsid w:val="00C042FB"/>
    <w:rsid w:val="00C10153"/>
    <w:rsid w:val="00C1043A"/>
    <w:rsid w:val="00C13A40"/>
    <w:rsid w:val="00C323E7"/>
    <w:rsid w:val="00C8368F"/>
    <w:rsid w:val="00C931C0"/>
    <w:rsid w:val="00D02F17"/>
    <w:rsid w:val="00D10734"/>
    <w:rsid w:val="00D132D5"/>
    <w:rsid w:val="00D140D9"/>
    <w:rsid w:val="00D33FE5"/>
    <w:rsid w:val="00DE6FBB"/>
    <w:rsid w:val="00DF47E1"/>
    <w:rsid w:val="00DF5D06"/>
    <w:rsid w:val="00E11840"/>
    <w:rsid w:val="00E26116"/>
    <w:rsid w:val="00E66558"/>
    <w:rsid w:val="00E816E4"/>
    <w:rsid w:val="00E902AC"/>
    <w:rsid w:val="00EA4490"/>
    <w:rsid w:val="00EE5849"/>
    <w:rsid w:val="00F076C9"/>
    <w:rsid w:val="00F20824"/>
    <w:rsid w:val="00F37E34"/>
    <w:rsid w:val="00F444BC"/>
    <w:rsid w:val="00F55205"/>
    <w:rsid w:val="00F817C7"/>
    <w:rsid w:val="00F96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394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084C"/>
    <w:pPr>
      <w:suppressAutoHyphens w:val="0"/>
      <w:autoSpaceDN/>
      <w:spacing w:before="100" w:beforeAutospacing="1" w:after="100" w:afterAutospacing="1" w:line="240" w:lineRule="auto"/>
    </w:pPr>
    <w:rPr>
      <w:rFonts w:ascii="Times New Roman" w:hAnsi="Times New Roman"/>
      <w:color w:val="auto"/>
    </w:rPr>
  </w:style>
  <w:style w:type="character" w:customStyle="1" w:styleId="UnresolvedMention2">
    <w:name w:val="Unresolved Mention2"/>
    <w:basedOn w:val="DefaultParagraphFont"/>
    <w:uiPriority w:val="99"/>
    <w:semiHidden/>
    <w:unhideWhenUsed/>
    <w:rsid w:val="0081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8224">
      <w:bodyDiv w:val="1"/>
      <w:marLeft w:val="0"/>
      <w:marRight w:val="0"/>
      <w:marTop w:val="0"/>
      <w:marBottom w:val="0"/>
      <w:divBdr>
        <w:top w:val="none" w:sz="0" w:space="0" w:color="auto"/>
        <w:left w:val="none" w:sz="0" w:space="0" w:color="auto"/>
        <w:bottom w:val="none" w:sz="0" w:space="0" w:color="auto"/>
        <w:right w:val="none" w:sz="0" w:space="0" w:color="auto"/>
      </w:divBdr>
    </w:div>
    <w:div w:id="262228007">
      <w:bodyDiv w:val="1"/>
      <w:marLeft w:val="0"/>
      <w:marRight w:val="0"/>
      <w:marTop w:val="0"/>
      <w:marBottom w:val="0"/>
      <w:divBdr>
        <w:top w:val="none" w:sz="0" w:space="0" w:color="auto"/>
        <w:left w:val="none" w:sz="0" w:space="0" w:color="auto"/>
        <w:bottom w:val="none" w:sz="0" w:space="0" w:color="auto"/>
        <w:right w:val="none" w:sz="0" w:space="0" w:color="auto"/>
      </w:divBdr>
    </w:div>
    <w:div w:id="868959053">
      <w:bodyDiv w:val="1"/>
      <w:marLeft w:val="0"/>
      <w:marRight w:val="0"/>
      <w:marTop w:val="0"/>
      <w:marBottom w:val="0"/>
      <w:divBdr>
        <w:top w:val="none" w:sz="0" w:space="0" w:color="auto"/>
        <w:left w:val="none" w:sz="0" w:space="0" w:color="auto"/>
        <w:bottom w:val="none" w:sz="0" w:space="0" w:color="auto"/>
        <w:right w:val="none" w:sz="0" w:space="0" w:color="auto"/>
      </w:divBdr>
    </w:div>
    <w:div w:id="1261139808">
      <w:bodyDiv w:val="1"/>
      <w:marLeft w:val="0"/>
      <w:marRight w:val="0"/>
      <w:marTop w:val="0"/>
      <w:marBottom w:val="0"/>
      <w:divBdr>
        <w:top w:val="none" w:sz="0" w:space="0" w:color="auto"/>
        <w:left w:val="none" w:sz="0" w:space="0" w:color="auto"/>
        <w:bottom w:val="none" w:sz="0" w:space="0" w:color="auto"/>
        <w:right w:val="none" w:sz="0" w:space="0" w:color="auto"/>
      </w:divBdr>
      <w:divsChild>
        <w:div w:id="814024839">
          <w:marLeft w:val="4800"/>
          <w:marRight w:val="4800"/>
          <w:marTop w:val="0"/>
          <w:marBottom w:val="0"/>
          <w:divBdr>
            <w:top w:val="single" w:sz="2" w:space="0" w:color="auto"/>
            <w:left w:val="single" w:sz="2" w:space="0" w:color="auto"/>
            <w:bottom w:val="single" w:sz="2" w:space="0" w:color="auto"/>
            <w:right w:val="single" w:sz="2" w:space="0" w:color="auto"/>
          </w:divBdr>
          <w:divsChild>
            <w:div w:id="1705473644">
              <w:marLeft w:val="0"/>
              <w:marRight w:val="0"/>
              <w:marTop w:val="0"/>
              <w:marBottom w:val="0"/>
              <w:divBdr>
                <w:top w:val="single" w:sz="2" w:space="0" w:color="auto"/>
                <w:left w:val="single" w:sz="2" w:space="0" w:color="auto"/>
                <w:bottom w:val="single" w:sz="2" w:space="0" w:color="auto"/>
                <w:right w:val="single" w:sz="2" w:space="0" w:color="auto"/>
              </w:divBdr>
            </w:div>
          </w:divsChild>
        </w:div>
        <w:div w:id="527060858">
          <w:marLeft w:val="4800"/>
          <w:marRight w:val="4800"/>
          <w:marTop w:val="0"/>
          <w:marBottom w:val="0"/>
          <w:divBdr>
            <w:top w:val="single" w:sz="2" w:space="0" w:color="auto"/>
            <w:left w:val="single" w:sz="2" w:space="0" w:color="auto"/>
            <w:bottom w:val="single" w:sz="2" w:space="0" w:color="auto"/>
            <w:right w:val="single" w:sz="2" w:space="0" w:color="auto"/>
          </w:divBdr>
          <w:divsChild>
            <w:div w:id="982345863">
              <w:marLeft w:val="0"/>
              <w:marRight w:val="0"/>
              <w:marTop w:val="0"/>
              <w:marBottom w:val="0"/>
              <w:divBdr>
                <w:top w:val="single" w:sz="2" w:space="0" w:color="auto"/>
                <w:left w:val="single" w:sz="2" w:space="0" w:color="auto"/>
                <w:bottom w:val="single" w:sz="2" w:space="0" w:color="auto"/>
                <w:right w:val="single" w:sz="2" w:space="0" w:color="auto"/>
              </w:divBdr>
            </w:div>
          </w:divsChild>
        </w:div>
        <w:div w:id="1098988985">
          <w:marLeft w:val="4800"/>
          <w:marRight w:val="4800"/>
          <w:marTop w:val="0"/>
          <w:marBottom w:val="0"/>
          <w:divBdr>
            <w:top w:val="single" w:sz="2" w:space="0" w:color="auto"/>
            <w:left w:val="single" w:sz="2" w:space="0" w:color="auto"/>
            <w:bottom w:val="single" w:sz="2" w:space="0" w:color="auto"/>
            <w:right w:val="single" w:sz="2" w:space="0" w:color="auto"/>
          </w:divBdr>
          <w:divsChild>
            <w:div w:id="652150199">
              <w:marLeft w:val="0"/>
              <w:marRight w:val="0"/>
              <w:marTop w:val="0"/>
              <w:marBottom w:val="0"/>
              <w:divBdr>
                <w:top w:val="single" w:sz="2" w:space="0" w:color="auto"/>
                <w:left w:val="single" w:sz="2" w:space="0" w:color="auto"/>
                <w:bottom w:val="single" w:sz="2" w:space="0" w:color="auto"/>
                <w:right w:val="single" w:sz="2" w:space="0" w:color="auto"/>
              </w:divBdr>
            </w:div>
          </w:divsChild>
        </w:div>
        <w:div w:id="638221946">
          <w:marLeft w:val="4800"/>
          <w:marRight w:val="4800"/>
          <w:marTop w:val="0"/>
          <w:marBottom w:val="0"/>
          <w:divBdr>
            <w:top w:val="single" w:sz="2" w:space="0" w:color="auto"/>
            <w:left w:val="single" w:sz="2" w:space="0" w:color="auto"/>
            <w:bottom w:val="single" w:sz="2" w:space="0" w:color="auto"/>
            <w:right w:val="single" w:sz="2" w:space="0" w:color="auto"/>
          </w:divBdr>
          <w:divsChild>
            <w:div w:id="18017290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metacognition-and-self-regul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feed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reading-comprehension-strategies" TargetMode="External"/><Relationship Id="rId5" Type="http://schemas.openxmlformats.org/officeDocument/2006/relationships/styles" Target="styles.xml"/><Relationship Id="rId15" Type="http://schemas.openxmlformats.org/officeDocument/2006/relationships/hyperlink" Target="https://educationendownmentfoundation.org.uk" TargetMode="External"/><Relationship Id="rId10" Type="http://schemas.openxmlformats.org/officeDocument/2006/relationships/hyperlink" Target="https://educationendowmentfoundation.org.uk/education-evidence/guidance-reports/implemen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99677/Working_together_to_improve_school_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7071c2-13cc-4169-9c03-99583149b9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28AFACC822E4B83B05CE5EF6FBDE2" ma:contentTypeVersion="11" ma:contentTypeDescription="Create a new document." ma:contentTypeScope="" ma:versionID="3fc05ef61b29cc717c311439c3a3fe57">
  <xsd:schema xmlns:xsd="http://www.w3.org/2001/XMLSchema" xmlns:xs="http://www.w3.org/2001/XMLSchema" xmlns:p="http://schemas.microsoft.com/office/2006/metadata/properties" xmlns:ns2="f47071c2-13cc-4169-9c03-99583149b998" xmlns:ns3="350ade4e-2b49-4d31-94ea-8ceb8b83477b" targetNamespace="http://schemas.microsoft.com/office/2006/metadata/properties" ma:root="true" ma:fieldsID="cac64d6455c420f36cabd536d1fdc846" ns2:_="" ns3:_="">
    <xsd:import namespace="f47071c2-13cc-4169-9c03-99583149b998"/>
    <xsd:import namespace="350ade4e-2b49-4d31-94ea-8ceb8b834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71c2-13cc-4169-9c03-99583149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ade4e-2b49-4d31-94ea-8ceb8b8347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FDD8B-7E9B-49C2-A2FA-146D84889F73}">
  <ds:schemaRefs>
    <ds:schemaRef ds:uri="http://schemas.microsoft.com/office/2006/metadata/properties"/>
    <ds:schemaRef ds:uri="http://schemas.microsoft.com/office/infopath/2007/PartnerControls"/>
    <ds:schemaRef ds:uri="f47071c2-13cc-4169-9c03-99583149b998"/>
  </ds:schemaRefs>
</ds:datastoreItem>
</file>

<file path=customXml/itemProps2.xml><?xml version="1.0" encoding="utf-8"?>
<ds:datastoreItem xmlns:ds="http://schemas.openxmlformats.org/officeDocument/2006/customXml" ds:itemID="{FA0666AE-A7B2-4B55-9FEA-6B09D98D3CA9}">
  <ds:schemaRefs>
    <ds:schemaRef ds:uri="http://schemas.microsoft.com/sharepoint/v3/contenttype/forms"/>
  </ds:schemaRefs>
</ds:datastoreItem>
</file>

<file path=customXml/itemProps3.xml><?xml version="1.0" encoding="utf-8"?>
<ds:datastoreItem xmlns:ds="http://schemas.openxmlformats.org/officeDocument/2006/customXml" ds:itemID="{9A75BE1F-9E67-4458-A3EA-E40AB928C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71c2-13cc-4169-9c03-99583149b998"/>
    <ds:schemaRef ds:uri="350ade4e-2b49-4d31-94ea-8ceb8b83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Sarah Roche</cp:lastModifiedBy>
  <cp:revision>2</cp:revision>
  <cp:lastPrinted>2014-09-17T13:26:00Z</cp:lastPrinted>
  <dcterms:created xsi:type="dcterms:W3CDTF">2022-11-29T08:48:00Z</dcterms:created>
  <dcterms:modified xsi:type="dcterms:W3CDTF">2022-11-29T08:48:00Z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0x01010080128AFACC822E4B83B05CE5EF6FBDE2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